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A8" w:rsidRDefault="000124A8"/>
    <w:tbl>
      <w:tblPr>
        <w:tblStyle w:val="Tabelacomgrade"/>
        <w:tblW w:w="9776"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Look w:val="04A0" w:firstRow="1" w:lastRow="0" w:firstColumn="1" w:lastColumn="0" w:noHBand="0" w:noVBand="1"/>
      </w:tblPr>
      <w:tblGrid>
        <w:gridCol w:w="4632"/>
        <w:gridCol w:w="460"/>
        <w:gridCol w:w="4684"/>
      </w:tblGrid>
      <w:tr w:rsidR="00966376" w:rsidTr="00DF3337">
        <w:tc>
          <w:tcPr>
            <w:tcW w:w="4632" w:type="dxa"/>
            <w:vAlign w:val="center"/>
          </w:tcPr>
          <w:p w:rsidR="00966376" w:rsidRPr="00D12C68" w:rsidRDefault="00966376" w:rsidP="00601025">
            <w:pPr>
              <w:jc w:val="center"/>
              <w:rPr>
                <w:b/>
                <w:szCs w:val="20"/>
                <w:lang w:val="pt-BR"/>
              </w:rPr>
            </w:pPr>
            <w:r w:rsidRPr="00D12C68">
              <w:rPr>
                <w:b/>
                <w:szCs w:val="20"/>
                <w:lang w:val="pt-BR"/>
              </w:rPr>
              <w:t>Acordo para o estabelecimento de intercâmbio em Duplo Diploma em Engenharia</w:t>
            </w:r>
          </w:p>
          <w:p w:rsidR="00966376" w:rsidRPr="00D12C68" w:rsidRDefault="000A2A07" w:rsidP="00601025">
            <w:pPr>
              <w:jc w:val="center"/>
              <w:rPr>
                <w:szCs w:val="20"/>
              </w:rPr>
            </w:pPr>
            <w:r>
              <w:rPr>
                <w:b/>
                <w:szCs w:val="20"/>
              </w:rPr>
              <w:t>EESC-USP</w:t>
            </w:r>
            <w:r w:rsidR="00966376" w:rsidRPr="00D12C68">
              <w:rPr>
                <w:b/>
                <w:szCs w:val="20"/>
              </w:rPr>
              <w:t xml:space="preserve"> – Telecom </w:t>
            </w:r>
            <w:r>
              <w:rPr>
                <w:b/>
                <w:szCs w:val="20"/>
              </w:rPr>
              <w:t>Paris</w:t>
            </w:r>
          </w:p>
        </w:tc>
        <w:tc>
          <w:tcPr>
            <w:tcW w:w="460" w:type="dxa"/>
          </w:tcPr>
          <w:p w:rsidR="00966376" w:rsidRPr="00D12C68" w:rsidRDefault="00966376" w:rsidP="000E2344">
            <w:pPr>
              <w:rPr>
                <w:szCs w:val="20"/>
              </w:rPr>
            </w:pPr>
          </w:p>
        </w:tc>
        <w:tc>
          <w:tcPr>
            <w:tcW w:w="4684" w:type="dxa"/>
            <w:vAlign w:val="center"/>
          </w:tcPr>
          <w:p w:rsidR="00966376" w:rsidRPr="00D12C68" w:rsidRDefault="00966376" w:rsidP="00601025">
            <w:pPr>
              <w:jc w:val="center"/>
              <w:rPr>
                <w:b/>
                <w:szCs w:val="20"/>
              </w:rPr>
            </w:pPr>
            <w:r w:rsidRPr="00D12C68">
              <w:rPr>
                <w:b/>
                <w:szCs w:val="20"/>
              </w:rPr>
              <w:t>Accord pour l’établissement d’échanges e</w:t>
            </w:r>
            <w:r w:rsidR="00107249">
              <w:rPr>
                <w:b/>
                <w:szCs w:val="20"/>
              </w:rPr>
              <w:t>n</w:t>
            </w:r>
            <w:r w:rsidRPr="00D12C68">
              <w:rPr>
                <w:b/>
                <w:szCs w:val="20"/>
              </w:rPr>
              <w:t xml:space="preserve"> Double Diplôme d’Ingénieur </w:t>
            </w:r>
          </w:p>
          <w:p w:rsidR="00966376" w:rsidRPr="00D12C68" w:rsidRDefault="000A2A07" w:rsidP="00D12C68">
            <w:pPr>
              <w:jc w:val="center"/>
              <w:rPr>
                <w:b/>
                <w:szCs w:val="20"/>
              </w:rPr>
            </w:pPr>
            <w:r>
              <w:rPr>
                <w:b/>
                <w:szCs w:val="20"/>
              </w:rPr>
              <w:t>EESC-USP</w:t>
            </w:r>
            <w:r w:rsidR="00966376" w:rsidRPr="00D12C68">
              <w:rPr>
                <w:b/>
                <w:szCs w:val="20"/>
              </w:rPr>
              <w:t xml:space="preserve"> – Telecom </w:t>
            </w:r>
            <w:r>
              <w:rPr>
                <w:b/>
                <w:szCs w:val="20"/>
              </w:rPr>
              <w:t>Paris</w:t>
            </w:r>
          </w:p>
        </w:tc>
      </w:tr>
      <w:tr w:rsidR="00966376" w:rsidTr="00DF3337">
        <w:tc>
          <w:tcPr>
            <w:tcW w:w="4632" w:type="dxa"/>
          </w:tcPr>
          <w:p w:rsidR="00966376" w:rsidRDefault="00966376" w:rsidP="000E2344"/>
        </w:tc>
        <w:tc>
          <w:tcPr>
            <w:tcW w:w="460" w:type="dxa"/>
          </w:tcPr>
          <w:p w:rsidR="00966376" w:rsidRDefault="00966376" w:rsidP="000E2344"/>
        </w:tc>
        <w:tc>
          <w:tcPr>
            <w:tcW w:w="4684" w:type="dxa"/>
          </w:tcPr>
          <w:p w:rsidR="00966376" w:rsidRDefault="00966376" w:rsidP="000E2344"/>
        </w:tc>
      </w:tr>
      <w:tr w:rsidR="00966376" w:rsidTr="00DF3337">
        <w:tc>
          <w:tcPr>
            <w:tcW w:w="4632" w:type="dxa"/>
          </w:tcPr>
          <w:p w:rsidR="000124A8" w:rsidRDefault="000124A8" w:rsidP="008B5005">
            <w:pPr>
              <w:rPr>
                <w:lang w:val="pt-BR"/>
              </w:rPr>
            </w:pPr>
          </w:p>
          <w:p w:rsidR="00966376" w:rsidRPr="008B5005" w:rsidRDefault="000A2A07" w:rsidP="008B5005">
            <w:pPr>
              <w:rPr>
                <w:lang w:val="pt-BR"/>
              </w:rPr>
            </w:pPr>
            <w:r>
              <w:rPr>
                <w:lang w:val="pt-BR"/>
              </w:rPr>
              <w:t xml:space="preserve">O presente acordo é </w:t>
            </w:r>
            <w:r w:rsidR="00966376" w:rsidRPr="008B5005">
              <w:rPr>
                <w:lang w:val="pt-BR"/>
              </w:rPr>
              <w:t>estabelecido entre a</w:t>
            </w:r>
            <w:r>
              <w:rPr>
                <w:lang w:val="pt-BR"/>
              </w:rPr>
              <w:t xml:space="preserve"> Universidade de São Paulo, </w:t>
            </w:r>
            <w:r w:rsidRPr="000A2A07">
              <w:rPr>
                <w:lang w:val="pt-BR"/>
              </w:rPr>
              <w:t>no interesse da Escola de Engenharia de São Carlos e</w:t>
            </w:r>
            <w:r w:rsidR="00966376" w:rsidRPr="008B5005">
              <w:rPr>
                <w:lang w:val="pt-BR"/>
              </w:rPr>
              <w:t xml:space="preserve"> </w:t>
            </w:r>
            <w:r>
              <w:rPr>
                <w:lang w:val="pt-BR"/>
              </w:rPr>
              <w:t>Telecom Paris</w:t>
            </w:r>
            <w:r w:rsidR="00966376" w:rsidRPr="008B5005">
              <w:rPr>
                <w:lang w:val="pt-BR"/>
              </w:rPr>
              <w:t xml:space="preserve">. Ele especifica as modalidades de intercâmbio em </w:t>
            </w:r>
            <w:r w:rsidR="00966376">
              <w:rPr>
                <w:lang w:val="pt-BR"/>
              </w:rPr>
              <w:t>D</w:t>
            </w:r>
            <w:r w:rsidR="00966376" w:rsidRPr="008B5005">
              <w:rPr>
                <w:lang w:val="pt-BR"/>
              </w:rPr>
              <w:t xml:space="preserve">uplo </w:t>
            </w:r>
            <w:r w:rsidR="00966376">
              <w:rPr>
                <w:lang w:val="pt-BR"/>
              </w:rPr>
              <w:t>D</w:t>
            </w:r>
            <w:r w:rsidR="00966376" w:rsidRPr="008B5005">
              <w:rPr>
                <w:lang w:val="pt-BR"/>
              </w:rPr>
              <w:t>iploma entre as instituições:</w:t>
            </w:r>
          </w:p>
          <w:p w:rsidR="00966376" w:rsidRPr="008B5005" w:rsidRDefault="00966376" w:rsidP="008B5005">
            <w:pPr>
              <w:rPr>
                <w:lang w:val="pt-BR"/>
              </w:rPr>
            </w:pPr>
          </w:p>
          <w:p w:rsidR="00966376" w:rsidRPr="008B5005" w:rsidRDefault="000A2A07" w:rsidP="008B5005">
            <w:pPr>
              <w:rPr>
                <w:lang w:val="pt-BR"/>
              </w:rPr>
            </w:pPr>
            <w:r w:rsidRPr="000A2A07">
              <w:rPr>
                <w:lang w:val="pt-BR"/>
              </w:rPr>
              <w:t>a Universidade de São Paulo - Escola de Engenharia de São Carlos, localizada à Avenida Trabalhador são-carlense, 400, 13566-590 – São Carlos, SP, Brasil, designada a seguir como EESC, representada por seu Reitor, Prof. Vahan Agopyan</w:t>
            </w:r>
            <w:r>
              <w:rPr>
                <w:lang w:val="pt-BR"/>
              </w:rPr>
              <w:t>,</w:t>
            </w:r>
          </w:p>
          <w:p w:rsidR="00966376" w:rsidRPr="008B5005" w:rsidRDefault="00966376" w:rsidP="008B5005">
            <w:pPr>
              <w:rPr>
                <w:lang w:val="pt-BR"/>
              </w:rPr>
            </w:pPr>
          </w:p>
          <w:p w:rsidR="00966376" w:rsidRPr="008B5005" w:rsidRDefault="00966376" w:rsidP="008B5005">
            <w:pPr>
              <w:rPr>
                <w:lang w:val="pt-BR"/>
              </w:rPr>
            </w:pPr>
            <w:r w:rsidRPr="008B5005">
              <w:rPr>
                <w:lang w:val="pt-BR"/>
              </w:rPr>
              <w:t>e</w:t>
            </w:r>
          </w:p>
          <w:p w:rsidR="00966376" w:rsidRPr="008B5005" w:rsidRDefault="00966376" w:rsidP="008B5005">
            <w:pPr>
              <w:rPr>
                <w:lang w:val="pt-BR"/>
              </w:rPr>
            </w:pPr>
          </w:p>
          <w:p w:rsidR="00966376" w:rsidRPr="008B5005" w:rsidRDefault="00966376" w:rsidP="000A2A07">
            <w:pPr>
              <w:rPr>
                <w:lang w:val="pt-BR"/>
              </w:rPr>
            </w:pPr>
            <w:r w:rsidRPr="008B5005">
              <w:rPr>
                <w:lang w:val="pt-BR"/>
              </w:rPr>
              <w:t>T</w:t>
            </w:r>
            <w:r>
              <w:rPr>
                <w:lang w:val="pt-BR"/>
              </w:rPr>
              <w:t>elecom</w:t>
            </w:r>
            <w:r w:rsidRPr="008B5005">
              <w:rPr>
                <w:lang w:val="pt-BR"/>
              </w:rPr>
              <w:t xml:space="preserve"> </w:t>
            </w:r>
            <w:r w:rsidR="000A2A07">
              <w:rPr>
                <w:lang w:val="pt-BR"/>
              </w:rPr>
              <w:t>Paris</w:t>
            </w:r>
            <w:r w:rsidRPr="008B5005">
              <w:rPr>
                <w:lang w:val="pt-BR"/>
              </w:rPr>
              <w:t xml:space="preserve">, </w:t>
            </w:r>
            <w:r>
              <w:rPr>
                <w:lang w:val="pt-BR"/>
              </w:rPr>
              <w:t xml:space="preserve">localizada </w:t>
            </w:r>
            <w:r w:rsidRPr="008B5005">
              <w:rPr>
                <w:lang w:val="pt-BR"/>
              </w:rPr>
              <w:t>46 rue Barrault 75 634 Paris cedex 13, França, representada por seu Diretor Yves Poilane.</w:t>
            </w:r>
          </w:p>
        </w:tc>
        <w:tc>
          <w:tcPr>
            <w:tcW w:w="460" w:type="dxa"/>
          </w:tcPr>
          <w:p w:rsidR="00966376" w:rsidRPr="008B5005" w:rsidRDefault="00966376" w:rsidP="000E2344">
            <w:pPr>
              <w:rPr>
                <w:lang w:val="pt-BR"/>
              </w:rPr>
            </w:pPr>
          </w:p>
        </w:tc>
        <w:tc>
          <w:tcPr>
            <w:tcW w:w="4684" w:type="dxa"/>
          </w:tcPr>
          <w:p w:rsidR="000124A8" w:rsidRDefault="000124A8" w:rsidP="000E2344">
            <w:pPr>
              <w:rPr>
                <w:lang w:val="pt-BR"/>
              </w:rPr>
            </w:pPr>
          </w:p>
          <w:p w:rsidR="00966376" w:rsidRPr="000E2344" w:rsidRDefault="000A2A07" w:rsidP="000E2344">
            <w:r>
              <w:rPr>
                <w:lang w:val="pt-BR"/>
              </w:rPr>
              <w:t>L</w:t>
            </w:r>
            <w:r w:rsidRPr="000A2A07">
              <w:rPr>
                <w:lang w:val="pt-BR"/>
              </w:rPr>
              <w:t xml:space="preserve">e présent accord est établi entre l’Universidade de São Paulo, dans l’Intérêt de </w:t>
            </w:r>
            <w:r>
              <w:rPr>
                <w:lang w:val="pt-BR"/>
              </w:rPr>
              <w:t>l’</w:t>
            </w:r>
            <w:r w:rsidRPr="000A2A07">
              <w:rPr>
                <w:lang w:val="pt-BR"/>
              </w:rPr>
              <w:t>Escola de Engenharia de São Carlos et Telecom Paris.</w:t>
            </w:r>
            <w:r w:rsidR="00966376" w:rsidRPr="000A2A07">
              <w:rPr>
                <w:lang w:val="pt-BR"/>
              </w:rPr>
              <w:t xml:space="preserve"> </w:t>
            </w:r>
            <w:r w:rsidR="00966376" w:rsidRPr="000E2344">
              <w:t xml:space="preserve">Il précise les modalités des échanges en </w:t>
            </w:r>
            <w:r w:rsidR="00966376">
              <w:t>D</w:t>
            </w:r>
            <w:r w:rsidR="00966376" w:rsidRPr="000E2344">
              <w:t>ouble-</w:t>
            </w:r>
            <w:r w:rsidR="00966376">
              <w:t>D</w:t>
            </w:r>
            <w:r w:rsidR="00966376" w:rsidRPr="000E2344">
              <w:t>iplôme entre :</w:t>
            </w:r>
          </w:p>
          <w:p w:rsidR="00966376" w:rsidRPr="000E2344" w:rsidRDefault="00966376" w:rsidP="000E2344"/>
          <w:p w:rsidR="000A2A07" w:rsidRDefault="000A2A07" w:rsidP="000E2344"/>
          <w:p w:rsidR="00966376" w:rsidRPr="00267D3D" w:rsidRDefault="000A2A07" w:rsidP="000E2344">
            <w:r w:rsidRPr="000A2A07">
              <w:t>l’Universidade de São Paulo - Escola de Engenharia de São Carlos, située sur la Avenida Trabalhador são-carlense, 400, 13566-590 – São Carlos, SP., Brésil, ci-après désignée par EESC, représentée par son Recteur, M. le Professeur Vahan Agopyan</w:t>
            </w:r>
            <w:r>
              <w:t>,</w:t>
            </w:r>
            <w:r w:rsidR="00E861D6" w:rsidRPr="00267D3D">
              <w:t xml:space="preserve"> </w:t>
            </w:r>
          </w:p>
          <w:p w:rsidR="00E861D6" w:rsidRPr="00E861D6" w:rsidRDefault="00E861D6" w:rsidP="000E2344"/>
          <w:p w:rsidR="00966376" w:rsidRPr="000E2344" w:rsidRDefault="00966376" w:rsidP="000E2344">
            <w:r w:rsidRPr="000E2344">
              <w:t>et</w:t>
            </w:r>
          </w:p>
          <w:p w:rsidR="00966376" w:rsidRPr="000E2344" w:rsidRDefault="00966376" w:rsidP="000E2344"/>
          <w:p w:rsidR="00966376" w:rsidRDefault="00966376" w:rsidP="000A2A07">
            <w:r w:rsidRPr="000E2344">
              <w:t xml:space="preserve">Telecom </w:t>
            </w:r>
            <w:r w:rsidR="000A2A07">
              <w:t>Paris</w:t>
            </w:r>
            <w:r w:rsidRPr="000E2344">
              <w:t xml:space="preserve">, </w:t>
            </w:r>
            <w:r>
              <w:t xml:space="preserve">sise 46 rue Barrault 75 634 Paris cedex 13, </w:t>
            </w:r>
            <w:r w:rsidRPr="000E2344">
              <w:t xml:space="preserve">France, représentée par son Directeur </w:t>
            </w:r>
            <w:r>
              <w:t>M. Yves Poilane</w:t>
            </w:r>
            <w:r w:rsidRPr="000E2344">
              <w:t>.</w:t>
            </w:r>
          </w:p>
        </w:tc>
      </w:tr>
      <w:tr w:rsidR="00966376" w:rsidTr="00DF3337">
        <w:tc>
          <w:tcPr>
            <w:tcW w:w="4632" w:type="dxa"/>
          </w:tcPr>
          <w:p w:rsidR="00966376" w:rsidRDefault="00966376" w:rsidP="000E2344"/>
        </w:tc>
        <w:tc>
          <w:tcPr>
            <w:tcW w:w="460" w:type="dxa"/>
          </w:tcPr>
          <w:p w:rsidR="00966376" w:rsidRDefault="00966376" w:rsidP="000E2344"/>
        </w:tc>
        <w:tc>
          <w:tcPr>
            <w:tcW w:w="4684" w:type="dxa"/>
          </w:tcPr>
          <w:p w:rsidR="00966376" w:rsidRDefault="00966376" w:rsidP="000E2344"/>
        </w:tc>
      </w:tr>
      <w:tr w:rsidR="00966376" w:rsidRPr="00272258" w:rsidTr="00DF3337">
        <w:tc>
          <w:tcPr>
            <w:tcW w:w="4632" w:type="dxa"/>
          </w:tcPr>
          <w:p w:rsidR="00966376" w:rsidRPr="00D12C68" w:rsidRDefault="00966376" w:rsidP="00D12C68">
            <w:pPr>
              <w:jc w:val="center"/>
              <w:rPr>
                <w:b/>
                <w:caps/>
                <w:szCs w:val="20"/>
                <w:lang w:val="pt-BR"/>
              </w:rPr>
            </w:pPr>
            <w:r w:rsidRPr="00D12C68">
              <w:rPr>
                <w:b/>
                <w:caps/>
                <w:szCs w:val="20"/>
                <w:lang w:val="pt-BR"/>
              </w:rPr>
              <w:t>Preâmbulo</w:t>
            </w:r>
          </w:p>
          <w:p w:rsidR="00966376" w:rsidRPr="00272258" w:rsidRDefault="00966376" w:rsidP="00272258">
            <w:pPr>
              <w:rPr>
                <w:lang w:val="pt-BR"/>
              </w:rPr>
            </w:pPr>
          </w:p>
          <w:p w:rsidR="00966376" w:rsidRPr="00272258" w:rsidRDefault="00966376" w:rsidP="00272258">
            <w:pPr>
              <w:rPr>
                <w:lang w:val="pt-BR"/>
              </w:rPr>
            </w:pPr>
            <w:r w:rsidRPr="00272258">
              <w:rPr>
                <w:lang w:val="pt-BR"/>
              </w:rPr>
              <w:t xml:space="preserve">As duas partes concordam em proceder a um intercâmbio de estudantes em duplo diploma conducente à obtenção simultânea do diploma de </w:t>
            </w:r>
            <w:r>
              <w:rPr>
                <w:lang w:val="pt-BR"/>
              </w:rPr>
              <w:t>E</w:t>
            </w:r>
            <w:r w:rsidRPr="00272258">
              <w:rPr>
                <w:lang w:val="pt-BR"/>
              </w:rPr>
              <w:t xml:space="preserve">ngenheiro de Telecom </w:t>
            </w:r>
            <w:r w:rsidR="000A2A07">
              <w:rPr>
                <w:lang w:val="pt-BR"/>
              </w:rPr>
              <w:t>Paris</w:t>
            </w:r>
            <w:r w:rsidRPr="00272258">
              <w:rPr>
                <w:lang w:val="pt-BR"/>
              </w:rPr>
              <w:t xml:space="preserve"> e de </w:t>
            </w:r>
            <w:r w:rsidR="00D612B2">
              <w:rPr>
                <w:lang w:val="pt-BR"/>
              </w:rPr>
              <w:t xml:space="preserve">um </w:t>
            </w:r>
            <w:r w:rsidRPr="00272258">
              <w:rPr>
                <w:lang w:val="pt-BR"/>
              </w:rPr>
              <w:t xml:space="preserve">diploma de </w:t>
            </w:r>
            <w:r>
              <w:rPr>
                <w:lang w:val="pt-BR"/>
              </w:rPr>
              <w:t>E</w:t>
            </w:r>
            <w:r w:rsidRPr="00272258">
              <w:rPr>
                <w:lang w:val="pt-BR"/>
              </w:rPr>
              <w:t xml:space="preserve">ngenheiro da </w:t>
            </w:r>
            <w:r w:rsidR="00D612B2">
              <w:rPr>
                <w:lang w:val="pt-BR"/>
              </w:rPr>
              <w:t>EESC</w:t>
            </w:r>
            <w:r w:rsidRPr="00272258">
              <w:rPr>
                <w:lang w:val="pt-BR"/>
              </w:rPr>
              <w:t>, nas condições a seguir.</w:t>
            </w:r>
          </w:p>
          <w:p w:rsidR="00966376" w:rsidRPr="00272258" w:rsidRDefault="00966376" w:rsidP="00272258">
            <w:pPr>
              <w:rPr>
                <w:lang w:val="pt-BR"/>
              </w:rPr>
            </w:pPr>
          </w:p>
          <w:p w:rsidR="00966376" w:rsidRDefault="00966376" w:rsidP="00272258">
            <w:pPr>
              <w:rPr>
                <w:lang w:val="pt-BR"/>
              </w:rPr>
            </w:pPr>
            <w:r w:rsidRPr="00272258">
              <w:rPr>
                <w:lang w:val="pt-BR"/>
              </w:rPr>
              <w:t>Nos parágrafos seguintes, serão utilizadas as abreviaturas EA para Estabelecimento de Acolhimento e EO para Estabelecimento de Origem.</w:t>
            </w:r>
          </w:p>
          <w:p w:rsidR="003771BB" w:rsidRDefault="003771BB" w:rsidP="00272258">
            <w:pPr>
              <w:rPr>
                <w:lang w:val="pt-BR"/>
              </w:rPr>
            </w:pPr>
          </w:p>
          <w:p w:rsidR="003771BB" w:rsidRPr="003771BB" w:rsidRDefault="003771BB" w:rsidP="00272258">
            <w:pPr>
              <w:rPr>
                <w:b/>
                <w:lang w:val="pt-BR"/>
              </w:rPr>
            </w:pPr>
            <w:r w:rsidRPr="003771BB">
              <w:rPr>
                <w:b/>
                <w:lang w:val="pt-BR"/>
              </w:rPr>
              <w:t>Article 1: Obrigações dos convenentes</w:t>
            </w:r>
          </w:p>
          <w:p w:rsidR="003771BB" w:rsidRDefault="003771BB" w:rsidP="00272258">
            <w:pPr>
              <w:rPr>
                <w:lang w:val="pt-BR"/>
              </w:rPr>
            </w:pPr>
          </w:p>
          <w:p w:rsidR="003771BB" w:rsidRDefault="003771BB" w:rsidP="003771BB">
            <w:pPr>
              <w:rPr>
                <w:szCs w:val="20"/>
                <w:lang w:val="pt-BR"/>
              </w:rPr>
            </w:pPr>
            <w:r w:rsidRPr="00463E52">
              <w:rPr>
                <w:b/>
                <w:szCs w:val="20"/>
                <w:lang w:val="pt-BR"/>
              </w:rPr>
              <w:t>Artigo 1.1</w:t>
            </w:r>
            <w:r w:rsidRPr="003771BB">
              <w:rPr>
                <w:szCs w:val="20"/>
                <w:lang w:val="pt-BR"/>
              </w:rPr>
              <w:t xml:space="preserve">: </w:t>
            </w:r>
            <w:r w:rsidRPr="003771BB">
              <w:rPr>
                <w:bCs/>
                <w:szCs w:val="20"/>
                <w:lang w:val="pt-BR"/>
              </w:rPr>
              <w:t>As instituições procurarão alcançar reciprocidade nas atividades contempladas por este convênio</w:t>
            </w:r>
            <w:r w:rsidRPr="003771BB">
              <w:rPr>
                <w:szCs w:val="20"/>
                <w:lang w:val="pt-BR"/>
              </w:rPr>
              <w:t>.</w:t>
            </w:r>
          </w:p>
          <w:p w:rsidR="003771BB" w:rsidRDefault="003771BB" w:rsidP="003771BB">
            <w:pPr>
              <w:rPr>
                <w:szCs w:val="20"/>
                <w:lang w:val="pt-BR"/>
              </w:rPr>
            </w:pPr>
          </w:p>
          <w:p w:rsidR="003771BB" w:rsidRDefault="003771BB" w:rsidP="003771BB">
            <w:pPr>
              <w:rPr>
                <w:szCs w:val="20"/>
                <w:lang w:val="pt-BR"/>
              </w:rPr>
            </w:pPr>
            <w:r w:rsidRPr="00463E52">
              <w:rPr>
                <w:b/>
                <w:szCs w:val="20"/>
                <w:lang w:val="pt-BR"/>
              </w:rPr>
              <w:t>Artigo 1.2</w:t>
            </w:r>
            <w:r w:rsidRPr="003771BB">
              <w:rPr>
                <w:szCs w:val="20"/>
                <w:lang w:val="pt-BR"/>
              </w:rPr>
              <w:t>: Ao final da estada do estudante, a instituição receptora enviará ao órgão apropriado da instituição de origem documento oficial especificando as atividades desenvolvidas e a avaliação recebida, quando for o caso.</w:t>
            </w:r>
          </w:p>
          <w:p w:rsidR="003771BB" w:rsidRDefault="003771BB" w:rsidP="003771BB">
            <w:pPr>
              <w:rPr>
                <w:szCs w:val="20"/>
                <w:lang w:val="pt-BR"/>
              </w:rPr>
            </w:pPr>
          </w:p>
          <w:p w:rsidR="003771BB" w:rsidRDefault="003771BB" w:rsidP="003771BB">
            <w:pPr>
              <w:rPr>
                <w:szCs w:val="20"/>
                <w:lang w:val="pt-BR"/>
              </w:rPr>
            </w:pPr>
            <w:r w:rsidRPr="00463E52">
              <w:rPr>
                <w:b/>
                <w:szCs w:val="20"/>
                <w:lang w:val="pt-BR"/>
              </w:rPr>
              <w:t>Artigo 1.3</w:t>
            </w:r>
            <w:r w:rsidRPr="003771BB">
              <w:rPr>
                <w:szCs w:val="20"/>
                <w:lang w:val="pt-BR"/>
              </w:rPr>
              <w:t>: A instituição de origem reconhecerá os resultados acadêmicos obtidos pelo estudante na instituição receptora, com base em programa de trabalho previamente acordado entre as duas instituições e em seus créditos e/ou carga horária.</w:t>
            </w:r>
          </w:p>
          <w:p w:rsidR="003771BB" w:rsidRDefault="003771BB" w:rsidP="003771BB">
            <w:pPr>
              <w:rPr>
                <w:szCs w:val="20"/>
                <w:lang w:val="pt-BR"/>
              </w:rPr>
            </w:pPr>
          </w:p>
          <w:p w:rsidR="003771BB" w:rsidRDefault="003771BB" w:rsidP="003771BB">
            <w:pPr>
              <w:rPr>
                <w:szCs w:val="20"/>
                <w:lang w:val="pt-BR"/>
              </w:rPr>
            </w:pPr>
            <w:r w:rsidRPr="00463E52">
              <w:rPr>
                <w:b/>
                <w:szCs w:val="20"/>
                <w:lang w:val="pt-BR"/>
              </w:rPr>
              <w:t>Artigo 1.4</w:t>
            </w:r>
            <w:r w:rsidRPr="003771BB">
              <w:rPr>
                <w:szCs w:val="20"/>
                <w:lang w:val="pt-BR"/>
              </w:rPr>
              <w:t>: As duas instituições se comprometem a promover a integração dos estudantes na vida acadêmica da instituição receptora.</w:t>
            </w:r>
          </w:p>
          <w:p w:rsidR="00EA5ED9" w:rsidRDefault="00EA5ED9" w:rsidP="003771BB">
            <w:pPr>
              <w:rPr>
                <w:szCs w:val="20"/>
                <w:lang w:val="pt-BR"/>
              </w:rPr>
            </w:pPr>
          </w:p>
          <w:p w:rsidR="00EA5ED9" w:rsidRPr="00EA5ED9" w:rsidRDefault="00EA5ED9" w:rsidP="003771BB">
            <w:pPr>
              <w:rPr>
                <w:b/>
                <w:szCs w:val="20"/>
                <w:lang w:val="pt-BR"/>
              </w:rPr>
            </w:pPr>
            <w:r w:rsidRPr="00EA5ED9">
              <w:rPr>
                <w:b/>
                <w:szCs w:val="20"/>
                <w:lang w:val="pt-BR"/>
              </w:rPr>
              <w:t>Artigo 2: Coordenação do convênio</w:t>
            </w:r>
          </w:p>
          <w:p w:rsidR="00EA5ED9" w:rsidRDefault="00EA5ED9" w:rsidP="003771BB">
            <w:pPr>
              <w:rPr>
                <w:szCs w:val="20"/>
                <w:lang w:val="pt-BR"/>
              </w:rPr>
            </w:pPr>
          </w:p>
          <w:p w:rsidR="00463E52" w:rsidRPr="00463E52" w:rsidRDefault="00463E52" w:rsidP="00463E52">
            <w:pPr>
              <w:rPr>
                <w:lang w:val="pt-BR"/>
              </w:rPr>
            </w:pPr>
            <w:r w:rsidRPr="00463E52">
              <w:rPr>
                <w:b/>
                <w:lang w:val="pt-BR"/>
              </w:rPr>
              <w:t>Artigo 2.1</w:t>
            </w:r>
            <w:r w:rsidRPr="00463E52">
              <w:rPr>
                <w:lang w:val="pt-BR"/>
              </w:rPr>
              <w:t xml:space="preserve">: As pessoas de contato na </w:t>
            </w:r>
            <w:r>
              <w:rPr>
                <w:lang w:val="pt-BR"/>
              </w:rPr>
              <w:t>EESC</w:t>
            </w:r>
            <w:r w:rsidRPr="00463E52">
              <w:rPr>
                <w:lang w:val="pt-BR"/>
              </w:rPr>
              <w:t xml:space="preserve"> para tratar de assuntos deste convênio são listadas a seguir.</w:t>
            </w:r>
          </w:p>
          <w:p w:rsidR="00463E52" w:rsidRDefault="00463E52" w:rsidP="00463E52">
            <w:pPr>
              <w:rPr>
                <w:lang w:val="pt-BR"/>
              </w:rPr>
            </w:pPr>
          </w:p>
          <w:p w:rsidR="00463E52" w:rsidRDefault="00463E52" w:rsidP="00463E52">
            <w:pPr>
              <w:rPr>
                <w:lang w:val="pt-BR"/>
              </w:rPr>
            </w:pPr>
          </w:p>
          <w:p w:rsidR="00463E52" w:rsidRPr="00463E52" w:rsidRDefault="00463E52" w:rsidP="00463E52">
            <w:pPr>
              <w:rPr>
                <w:lang w:val="pt-BR"/>
              </w:rPr>
            </w:pPr>
            <w:r w:rsidRPr="00463E52">
              <w:rPr>
                <w:lang w:val="pt-BR"/>
              </w:rPr>
              <w:t>Assuntos acadêmicos relacionados aos termos do convênio:</w:t>
            </w:r>
          </w:p>
          <w:p w:rsidR="00463E52" w:rsidRPr="00463E52" w:rsidRDefault="00463E52" w:rsidP="00463E52">
            <w:pPr>
              <w:rPr>
                <w:lang w:val="pt-BR"/>
              </w:rPr>
            </w:pPr>
            <w:r w:rsidRPr="00463E52">
              <w:rPr>
                <w:lang w:val="pt-BR"/>
              </w:rPr>
              <w:t>Prof. Denis Vinícius Coury</w:t>
            </w:r>
          </w:p>
          <w:p w:rsidR="00463E52" w:rsidRPr="00463E52" w:rsidRDefault="00463E52" w:rsidP="00463E52">
            <w:pPr>
              <w:rPr>
                <w:lang w:val="pt-BR"/>
              </w:rPr>
            </w:pPr>
            <w:r w:rsidRPr="00463E52">
              <w:rPr>
                <w:lang w:val="pt-BR"/>
              </w:rPr>
              <w:t xml:space="preserve">Departamento: Engenharia Elétrica e de Computação </w:t>
            </w:r>
          </w:p>
          <w:p w:rsidR="00463E52" w:rsidRPr="00463E52" w:rsidRDefault="00463E52" w:rsidP="00463E52">
            <w:pPr>
              <w:rPr>
                <w:lang w:val="pt-BR"/>
              </w:rPr>
            </w:pPr>
            <w:r w:rsidRPr="00463E52">
              <w:rPr>
                <w:lang w:val="pt-BR"/>
              </w:rPr>
              <w:t xml:space="preserve">Email: </w:t>
            </w:r>
            <w:hyperlink r:id="rId8" w:history="1">
              <w:r w:rsidR="0040746D" w:rsidRPr="00053AFC">
                <w:rPr>
                  <w:rStyle w:val="Hyperlink"/>
                  <w:lang w:val="pt-BR"/>
                </w:rPr>
                <w:t>coury@sc.usp.br</w:t>
              </w:r>
            </w:hyperlink>
            <w:r w:rsidR="0040746D">
              <w:rPr>
                <w:lang w:val="pt-BR"/>
              </w:rPr>
              <w:t xml:space="preserve"> </w:t>
            </w:r>
          </w:p>
          <w:p w:rsidR="00463E52" w:rsidRPr="00463E52" w:rsidRDefault="00463E52" w:rsidP="00463E52">
            <w:pPr>
              <w:rPr>
                <w:lang w:val="pt-BR"/>
              </w:rPr>
            </w:pPr>
          </w:p>
          <w:p w:rsidR="00463E52" w:rsidRPr="00463E52" w:rsidRDefault="00463E52" w:rsidP="00463E52">
            <w:pPr>
              <w:rPr>
                <w:lang w:val="pt-BR"/>
              </w:rPr>
            </w:pPr>
            <w:r w:rsidRPr="00463E52">
              <w:rPr>
                <w:lang w:val="pt-BR"/>
              </w:rPr>
              <w:t>Assuntos administrativos relacionados à execução deste convênio, relacionamento com os alunos e emergências com os alunos:</w:t>
            </w:r>
          </w:p>
          <w:p w:rsidR="00463E52" w:rsidRPr="00463E52" w:rsidRDefault="00463E52" w:rsidP="00463E52">
            <w:pPr>
              <w:rPr>
                <w:lang w:val="pt-BR"/>
              </w:rPr>
            </w:pPr>
            <w:r w:rsidRPr="00463E52">
              <w:rPr>
                <w:lang w:val="pt-BR"/>
              </w:rPr>
              <w:t>Comissão de Cooperação Internacional da EESC</w:t>
            </w:r>
          </w:p>
          <w:p w:rsidR="00463E52" w:rsidRPr="00463E52" w:rsidRDefault="00463E52" w:rsidP="00463E52">
            <w:pPr>
              <w:rPr>
                <w:lang w:val="pt-BR"/>
              </w:rPr>
            </w:pPr>
            <w:r w:rsidRPr="00463E52">
              <w:rPr>
                <w:lang w:val="pt-BR"/>
              </w:rPr>
              <w:t>EESC-USP International Office.</w:t>
            </w:r>
          </w:p>
          <w:p w:rsidR="00463E52" w:rsidRPr="00463E52" w:rsidRDefault="00463E52" w:rsidP="00463E52">
            <w:pPr>
              <w:rPr>
                <w:lang w:val="pt-BR"/>
              </w:rPr>
            </w:pPr>
            <w:r w:rsidRPr="00463E52">
              <w:rPr>
                <w:lang w:val="pt-BR"/>
              </w:rPr>
              <w:t>Av. Trabalhador Saocarlense, 400, 13566-590, São Carlos-SP, Brésil</w:t>
            </w:r>
          </w:p>
          <w:p w:rsidR="00463E52" w:rsidRPr="007C31EE" w:rsidRDefault="00463E52" w:rsidP="00463E52">
            <w:r w:rsidRPr="007C31EE">
              <w:t xml:space="preserve">Email </w:t>
            </w:r>
            <w:hyperlink r:id="rId9" w:history="1">
              <w:r w:rsidR="0040746D" w:rsidRPr="00053AFC">
                <w:rPr>
                  <w:rStyle w:val="Hyperlink"/>
                </w:rPr>
                <w:t>ccint@eesc.usp.br</w:t>
              </w:r>
            </w:hyperlink>
            <w:r w:rsidR="0040746D">
              <w:t xml:space="preserve"> </w:t>
            </w:r>
          </w:p>
          <w:p w:rsidR="00EA5ED9" w:rsidRPr="007C31EE" w:rsidRDefault="00463E52" w:rsidP="00463E52">
            <w:r w:rsidRPr="007C31EE">
              <w:t>Telefone: +55 16 3373 8188</w:t>
            </w:r>
          </w:p>
          <w:p w:rsidR="00463E52" w:rsidRPr="007C31EE" w:rsidRDefault="00463E52" w:rsidP="00463E52"/>
          <w:p w:rsidR="00463E52" w:rsidRPr="00463E52" w:rsidRDefault="00463E52" w:rsidP="00463E52">
            <w:pPr>
              <w:rPr>
                <w:lang w:val="pt-BR"/>
              </w:rPr>
            </w:pPr>
            <w:r w:rsidRPr="00463E52">
              <w:rPr>
                <w:b/>
                <w:lang w:val="pt-BR"/>
              </w:rPr>
              <w:t>Artigo 2.2</w:t>
            </w:r>
            <w:r w:rsidRPr="00463E52">
              <w:rPr>
                <w:lang w:val="pt-BR"/>
              </w:rPr>
              <w:t>: As pessoas de contato em PARISTECH para tratar de assuntos deste convênio são listadas a seguir.</w:t>
            </w:r>
          </w:p>
          <w:p w:rsidR="00463E52" w:rsidRPr="00463E52" w:rsidRDefault="00463E52" w:rsidP="00463E52">
            <w:pPr>
              <w:rPr>
                <w:lang w:val="pt-BR"/>
              </w:rPr>
            </w:pPr>
          </w:p>
          <w:p w:rsidR="00463E52" w:rsidRDefault="00463E52" w:rsidP="00463E52">
            <w:pPr>
              <w:rPr>
                <w:lang w:val="pt-BR"/>
              </w:rPr>
            </w:pPr>
            <w:r w:rsidRPr="00463E52">
              <w:rPr>
                <w:lang w:val="pt-BR"/>
              </w:rPr>
              <w:t>Assuntos acadêmicos relacionados aos termos do convênio:</w:t>
            </w:r>
          </w:p>
          <w:p w:rsidR="00463E52" w:rsidRPr="007C31EE" w:rsidRDefault="007C31EE" w:rsidP="00463E52">
            <w:pPr>
              <w:rPr>
                <w:lang w:val="pt-BR"/>
              </w:rPr>
            </w:pPr>
            <w:r>
              <w:rPr>
                <w:lang w:val="pt-BR"/>
              </w:rPr>
              <w:t xml:space="preserve">Profa. </w:t>
            </w:r>
            <w:r w:rsidRPr="007C31EE">
              <w:rPr>
                <w:lang w:val="pt-BR"/>
              </w:rPr>
              <w:t>Lírida</w:t>
            </w:r>
            <w:r w:rsidR="00463E52" w:rsidRPr="007C31EE">
              <w:rPr>
                <w:lang w:val="pt-BR"/>
              </w:rPr>
              <w:t xml:space="preserve"> Naviner</w:t>
            </w:r>
          </w:p>
          <w:p w:rsidR="00463E52" w:rsidRPr="007C31EE" w:rsidRDefault="007C31EE" w:rsidP="00463E52">
            <w:pPr>
              <w:rPr>
                <w:lang w:val="pt-BR"/>
              </w:rPr>
            </w:pPr>
            <w:r w:rsidRPr="007C31EE">
              <w:rPr>
                <w:lang w:val="pt-BR"/>
              </w:rPr>
              <w:t xml:space="preserve">Departamento Comunicações e </w:t>
            </w:r>
            <w:r>
              <w:rPr>
                <w:lang w:val="pt-BR"/>
              </w:rPr>
              <w:t>E</w:t>
            </w:r>
            <w:r w:rsidRPr="007C31EE">
              <w:rPr>
                <w:lang w:val="pt-BR"/>
              </w:rPr>
              <w:t>letr</w:t>
            </w:r>
            <w:r>
              <w:rPr>
                <w:lang w:val="pt-BR"/>
              </w:rPr>
              <w:t>ônica</w:t>
            </w:r>
          </w:p>
          <w:p w:rsidR="00463E52" w:rsidRDefault="00463E52" w:rsidP="00463E52">
            <w:r>
              <w:t xml:space="preserve">Email : </w:t>
            </w:r>
            <w:hyperlink r:id="rId10" w:history="1">
              <w:r w:rsidR="0040746D" w:rsidRPr="00053AFC">
                <w:rPr>
                  <w:rStyle w:val="Hyperlink"/>
                </w:rPr>
                <w:t>lirida.naviner@telecom-paris.fr</w:t>
              </w:r>
            </w:hyperlink>
            <w:r w:rsidR="0040746D">
              <w:t xml:space="preserve"> </w:t>
            </w:r>
            <w:r>
              <w:t xml:space="preserve"> </w:t>
            </w:r>
          </w:p>
          <w:p w:rsidR="00463E52" w:rsidRDefault="00463E52" w:rsidP="00463E52"/>
          <w:p w:rsidR="00463E52" w:rsidRPr="00463E52" w:rsidRDefault="00463E52" w:rsidP="00463E52">
            <w:pPr>
              <w:rPr>
                <w:lang w:val="pt-BR"/>
              </w:rPr>
            </w:pPr>
            <w:r w:rsidRPr="00107249">
              <w:rPr>
                <w:lang w:val="pt-BR"/>
              </w:rPr>
              <w:t>Assuntos administrativos relacionados à</w:t>
            </w:r>
            <w:r w:rsidRPr="007C31EE">
              <w:rPr>
                <w:lang w:val="pt-BR"/>
              </w:rPr>
              <w:t xml:space="preserve"> ex</w:t>
            </w:r>
            <w:r w:rsidRPr="00463E52">
              <w:rPr>
                <w:lang w:val="pt-BR"/>
              </w:rPr>
              <w:t>ecução deste convênio, relacionamento com os alunos e emergências com os alunos:</w:t>
            </w:r>
          </w:p>
          <w:p w:rsidR="00463E52" w:rsidRDefault="00463E52" w:rsidP="00463E52">
            <w:pPr>
              <w:rPr>
                <w:lang w:val="pt-BR"/>
              </w:rPr>
            </w:pPr>
            <w:r>
              <w:rPr>
                <w:lang w:val="pt-BR"/>
              </w:rPr>
              <w:t>Direção das Relações Internacionais de Telecom Paris</w:t>
            </w:r>
          </w:p>
          <w:p w:rsidR="00463E52" w:rsidRPr="00463E52" w:rsidRDefault="00463E52" w:rsidP="00463E52">
            <w:pPr>
              <w:rPr>
                <w:lang w:val="pt-BR"/>
              </w:rPr>
            </w:pPr>
            <w:r w:rsidRPr="007C31EE">
              <w:rPr>
                <w:lang w:val="pt-BR"/>
              </w:rPr>
              <w:t xml:space="preserve">Email: </w:t>
            </w:r>
            <w:hyperlink r:id="rId11" w:history="1">
              <w:r w:rsidR="0040746D" w:rsidRPr="00053AFC">
                <w:rPr>
                  <w:rStyle w:val="Hyperlink"/>
                  <w:lang w:val="pt-BR"/>
                </w:rPr>
                <w:t>international@telecom-paris.fr</w:t>
              </w:r>
            </w:hyperlink>
            <w:r w:rsidR="0040746D">
              <w:rPr>
                <w:lang w:val="pt-BR"/>
              </w:rPr>
              <w:t xml:space="preserve"> </w:t>
            </w:r>
          </w:p>
          <w:p w:rsidR="00463E52" w:rsidRDefault="00463E52" w:rsidP="00463E52">
            <w:pPr>
              <w:rPr>
                <w:lang w:val="pt-BR"/>
              </w:rPr>
            </w:pPr>
          </w:p>
          <w:p w:rsidR="00C94018" w:rsidRDefault="00C94018" w:rsidP="00463E52">
            <w:pPr>
              <w:rPr>
                <w:b/>
                <w:lang w:val="pt-BR"/>
              </w:rPr>
            </w:pPr>
          </w:p>
          <w:p w:rsidR="00463E52" w:rsidRPr="00463E52" w:rsidRDefault="00463E52" w:rsidP="00463E52">
            <w:pPr>
              <w:rPr>
                <w:lang w:val="pt-BR"/>
              </w:rPr>
            </w:pPr>
            <w:r w:rsidRPr="00463E52">
              <w:rPr>
                <w:b/>
                <w:lang w:val="pt-BR"/>
              </w:rPr>
              <w:t xml:space="preserve">Artigo </w:t>
            </w:r>
            <w:r>
              <w:rPr>
                <w:b/>
                <w:lang w:val="pt-BR"/>
              </w:rPr>
              <w:t>2</w:t>
            </w:r>
            <w:r w:rsidRPr="00463E52">
              <w:rPr>
                <w:b/>
                <w:lang w:val="pt-BR"/>
              </w:rPr>
              <w:t>.3</w:t>
            </w:r>
            <w:r w:rsidRPr="00463E52">
              <w:rPr>
                <w:lang w:val="pt-BR"/>
              </w:rPr>
              <w:t>: Caberá à referida Coordenação a proposta de soluções e o encaminhamento de questões acadêmicas e administrativas que surgirem durante a vigência do presente convênio, bem como a supervisão das atividades.</w:t>
            </w:r>
          </w:p>
        </w:tc>
        <w:tc>
          <w:tcPr>
            <w:tcW w:w="460" w:type="dxa"/>
          </w:tcPr>
          <w:p w:rsidR="00966376" w:rsidRPr="00463E52" w:rsidRDefault="00966376" w:rsidP="000E2344">
            <w:pPr>
              <w:rPr>
                <w:lang w:val="pt-BR"/>
              </w:rPr>
            </w:pPr>
          </w:p>
        </w:tc>
        <w:tc>
          <w:tcPr>
            <w:tcW w:w="4684" w:type="dxa"/>
          </w:tcPr>
          <w:p w:rsidR="00966376" w:rsidRPr="00D12C68" w:rsidRDefault="00966376" w:rsidP="00D12C68">
            <w:pPr>
              <w:jc w:val="center"/>
              <w:rPr>
                <w:b/>
                <w:caps/>
                <w:szCs w:val="20"/>
              </w:rPr>
            </w:pPr>
            <w:r w:rsidRPr="00D12C68">
              <w:rPr>
                <w:b/>
                <w:caps/>
                <w:szCs w:val="20"/>
              </w:rPr>
              <w:t>Préambule</w:t>
            </w:r>
          </w:p>
          <w:p w:rsidR="00966376" w:rsidRPr="00272258" w:rsidRDefault="00966376" w:rsidP="00272258"/>
          <w:p w:rsidR="00966376" w:rsidRPr="00272258" w:rsidRDefault="00966376" w:rsidP="00272258">
            <w:r w:rsidRPr="00272258">
              <w:t>Les deux parties conviennent de procéder à des échanges d’étudiants en double-diplôme conduis</w:t>
            </w:r>
            <w:r>
              <w:t>ant à l’obtention du diplôme d’I</w:t>
            </w:r>
            <w:r w:rsidRPr="00272258">
              <w:t xml:space="preserve">ngénieur de Telecom </w:t>
            </w:r>
            <w:r w:rsidR="000A2A07">
              <w:t>Paris</w:t>
            </w:r>
            <w:r w:rsidRPr="00272258">
              <w:t xml:space="preserve"> et d</w:t>
            </w:r>
            <w:r>
              <w:t>’un diplôme d’Ingénieur de l’</w:t>
            </w:r>
            <w:r w:rsidR="00D612B2">
              <w:t>EESC</w:t>
            </w:r>
            <w:r w:rsidRPr="00272258">
              <w:t xml:space="preserve"> selon les conditions ci-après.</w:t>
            </w:r>
          </w:p>
          <w:p w:rsidR="00966376" w:rsidRPr="00272258" w:rsidRDefault="00966376" w:rsidP="00272258"/>
          <w:p w:rsidR="00966376" w:rsidRDefault="00966376" w:rsidP="00272258">
            <w:r w:rsidRPr="00272258">
              <w:t>Dans les paragraphes suivants, nous utiliserons les abréviations EA pour établissement d’accueil et EO pour établissement d’origine.</w:t>
            </w:r>
          </w:p>
          <w:p w:rsidR="003771BB" w:rsidRDefault="003771BB" w:rsidP="00272258"/>
          <w:p w:rsidR="003771BB" w:rsidRPr="003771BB" w:rsidRDefault="003771BB" w:rsidP="00272258">
            <w:pPr>
              <w:rPr>
                <w:b/>
              </w:rPr>
            </w:pPr>
            <w:r w:rsidRPr="003771BB">
              <w:rPr>
                <w:b/>
              </w:rPr>
              <w:t>Article 1. Obligation des partenaires</w:t>
            </w:r>
          </w:p>
          <w:p w:rsidR="003771BB" w:rsidRDefault="003771BB" w:rsidP="00272258"/>
          <w:p w:rsidR="003771BB" w:rsidRDefault="003771BB" w:rsidP="00272258">
            <w:pPr>
              <w:rPr>
                <w:szCs w:val="20"/>
              </w:rPr>
            </w:pPr>
            <w:r w:rsidRPr="00463E52">
              <w:rPr>
                <w:b/>
                <w:szCs w:val="20"/>
              </w:rPr>
              <w:t>Article 1.1</w:t>
            </w:r>
            <w:r>
              <w:rPr>
                <w:szCs w:val="20"/>
              </w:rPr>
              <w:t xml:space="preserve"> </w:t>
            </w:r>
            <w:r w:rsidRPr="003771BB">
              <w:rPr>
                <w:szCs w:val="20"/>
              </w:rPr>
              <w:t>: L</w:t>
            </w:r>
            <w:r w:rsidRPr="00093E27">
              <w:rPr>
                <w:szCs w:val="20"/>
              </w:rPr>
              <w:t>es deux institutions chercheront à développer les activités prévues dans cette convention sur un pied de réciprocité</w:t>
            </w:r>
            <w:r>
              <w:rPr>
                <w:szCs w:val="20"/>
              </w:rPr>
              <w:t>.</w:t>
            </w:r>
          </w:p>
          <w:p w:rsidR="003771BB" w:rsidRDefault="003771BB" w:rsidP="00272258">
            <w:pPr>
              <w:rPr>
                <w:szCs w:val="20"/>
              </w:rPr>
            </w:pPr>
          </w:p>
          <w:p w:rsidR="003771BB" w:rsidRDefault="003771BB" w:rsidP="00272258">
            <w:pPr>
              <w:rPr>
                <w:szCs w:val="20"/>
              </w:rPr>
            </w:pPr>
            <w:r w:rsidRPr="00463E52">
              <w:rPr>
                <w:b/>
                <w:szCs w:val="20"/>
              </w:rPr>
              <w:t>Article 1.2</w:t>
            </w:r>
            <w:r>
              <w:rPr>
                <w:szCs w:val="20"/>
              </w:rPr>
              <w:t xml:space="preserve"> </w:t>
            </w:r>
            <w:r w:rsidRPr="003771BB">
              <w:rPr>
                <w:szCs w:val="20"/>
              </w:rPr>
              <w:t xml:space="preserve">: </w:t>
            </w:r>
            <w:r w:rsidRPr="00093E27">
              <w:rPr>
                <w:noProof/>
                <w:color w:val="000000"/>
                <w:szCs w:val="20"/>
              </w:rPr>
              <w:t xml:space="preserve">À la fin du séjour de l’étudiant, l’institution d’accueil enverra à l’organe approprié de l’institution d’origine un document officiel spécifiant les activités développées et </w:t>
            </w:r>
            <w:r w:rsidRPr="00093E27">
              <w:rPr>
                <w:noProof/>
                <w:szCs w:val="20"/>
              </w:rPr>
              <w:t xml:space="preserve">l’appréciation </w:t>
            </w:r>
            <w:r w:rsidRPr="00093E27">
              <w:rPr>
                <w:noProof/>
                <w:color w:val="000000"/>
                <w:szCs w:val="20"/>
              </w:rPr>
              <w:t>reçue le cas échéant</w:t>
            </w:r>
            <w:r>
              <w:rPr>
                <w:szCs w:val="20"/>
              </w:rPr>
              <w:t>.</w:t>
            </w:r>
          </w:p>
          <w:p w:rsidR="003771BB" w:rsidRDefault="003771BB" w:rsidP="00272258">
            <w:pPr>
              <w:rPr>
                <w:szCs w:val="20"/>
              </w:rPr>
            </w:pPr>
          </w:p>
          <w:p w:rsidR="0040746D" w:rsidRDefault="0040746D" w:rsidP="00272258">
            <w:pPr>
              <w:rPr>
                <w:szCs w:val="20"/>
              </w:rPr>
            </w:pPr>
          </w:p>
          <w:p w:rsidR="003771BB" w:rsidRDefault="003771BB" w:rsidP="00272258">
            <w:pPr>
              <w:rPr>
                <w:szCs w:val="20"/>
              </w:rPr>
            </w:pPr>
            <w:r w:rsidRPr="00463E52">
              <w:rPr>
                <w:b/>
                <w:szCs w:val="20"/>
              </w:rPr>
              <w:t>Article 1.3</w:t>
            </w:r>
            <w:r>
              <w:rPr>
                <w:szCs w:val="20"/>
              </w:rPr>
              <w:t xml:space="preserve"> </w:t>
            </w:r>
            <w:r w:rsidRPr="003771BB">
              <w:rPr>
                <w:szCs w:val="20"/>
              </w:rPr>
              <w:t>:</w:t>
            </w:r>
            <w:r w:rsidRPr="00466F90">
              <w:rPr>
                <w:szCs w:val="20"/>
              </w:rPr>
              <w:t xml:space="preserve"> </w:t>
            </w:r>
            <w:r w:rsidRPr="00E47628">
              <w:rPr>
                <w:noProof/>
                <w:color w:val="000000"/>
                <w:szCs w:val="20"/>
              </w:rPr>
              <w:t>L’institution d’origine reconnaîtra les résultats académiques obtenus par l’étudiant dans l’institution d’accueil, en tenant compte du plan de travail préalablement défini entre les deux parties et de ses crédits</w:t>
            </w:r>
            <w:r>
              <w:rPr>
                <w:szCs w:val="20"/>
              </w:rPr>
              <w:t>.</w:t>
            </w:r>
          </w:p>
          <w:p w:rsidR="003771BB" w:rsidRDefault="003771BB" w:rsidP="00272258">
            <w:pPr>
              <w:rPr>
                <w:szCs w:val="20"/>
              </w:rPr>
            </w:pPr>
          </w:p>
          <w:p w:rsidR="003771BB" w:rsidRDefault="003771BB" w:rsidP="003771BB">
            <w:pPr>
              <w:rPr>
                <w:szCs w:val="20"/>
              </w:rPr>
            </w:pPr>
            <w:r w:rsidRPr="00463E52">
              <w:rPr>
                <w:b/>
                <w:szCs w:val="20"/>
              </w:rPr>
              <w:t>Article 1.4</w:t>
            </w:r>
            <w:r>
              <w:rPr>
                <w:szCs w:val="20"/>
              </w:rPr>
              <w:t xml:space="preserve"> </w:t>
            </w:r>
            <w:r w:rsidRPr="003771BB">
              <w:rPr>
                <w:szCs w:val="20"/>
              </w:rPr>
              <w:t xml:space="preserve">: </w:t>
            </w:r>
            <w:r w:rsidRPr="00E47628">
              <w:rPr>
                <w:noProof/>
                <w:color w:val="000000"/>
                <w:szCs w:val="20"/>
              </w:rPr>
              <w:t>Les deux institutions s’engagent à promouvoir l’intégration des étudiants dans la vie académique de l’institution d’accueil</w:t>
            </w:r>
            <w:r>
              <w:rPr>
                <w:szCs w:val="20"/>
              </w:rPr>
              <w:t>.</w:t>
            </w:r>
          </w:p>
          <w:p w:rsidR="00EA5ED9" w:rsidRDefault="00EA5ED9" w:rsidP="003771BB">
            <w:pPr>
              <w:rPr>
                <w:szCs w:val="20"/>
              </w:rPr>
            </w:pPr>
          </w:p>
          <w:p w:rsidR="00EA5ED9" w:rsidRPr="00EA5ED9" w:rsidRDefault="00EA5ED9" w:rsidP="003771BB">
            <w:pPr>
              <w:rPr>
                <w:b/>
                <w:szCs w:val="20"/>
              </w:rPr>
            </w:pPr>
            <w:r w:rsidRPr="00EA5ED9">
              <w:rPr>
                <w:b/>
                <w:szCs w:val="20"/>
              </w:rPr>
              <w:t>Article 2 : Coordination de la convention</w:t>
            </w:r>
          </w:p>
          <w:p w:rsidR="00EA5ED9" w:rsidRDefault="00EA5ED9" w:rsidP="003771BB">
            <w:pPr>
              <w:rPr>
                <w:szCs w:val="20"/>
              </w:rPr>
            </w:pPr>
          </w:p>
          <w:p w:rsidR="00463E52" w:rsidRDefault="00EA5ED9" w:rsidP="00463E52">
            <w:r w:rsidRPr="00463E52">
              <w:rPr>
                <w:b/>
              </w:rPr>
              <w:t>Article 2.1 </w:t>
            </w:r>
            <w:r>
              <w:t xml:space="preserve">: </w:t>
            </w:r>
            <w:r w:rsidR="00463E52">
              <w:t>Les personnes de contact à l'EESC pour traiter les questions de cette convention sont mentionnées par la suite.</w:t>
            </w:r>
          </w:p>
          <w:p w:rsidR="00463E52" w:rsidRDefault="00463E52" w:rsidP="00463E52"/>
          <w:p w:rsidR="00463E52" w:rsidRDefault="00463E52" w:rsidP="00463E52">
            <w:r>
              <w:t>Questions académiques associées aux termes de la convention:</w:t>
            </w:r>
          </w:p>
          <w:p w:rsidR="00463E52" w:rsidRPr="00463E52" w:rsidRDefault="00463E52" w:rsidP="00463E52">
            <w:pPr>
              <w:rPr>
                <w:lang w:val="pt-BR"/>
              </w:rPr>
            </w:pPr>
            <w:r w:rsidRPr="00463E52">
              <w:rPr>
                <w:lang w:val="pt-BR"/>
              </w:rPr>
              <w:t xml:space="preserve">Prof. Denis Vinícius Coury </w:t>
            </w:r>
          </w:p>
          <w:p w:rsidR="00463E52" w:rsidRPr="00463E52" w:rsidRDefault="00463E52" w:rsidP="00463E52">
            <w:pPr>
              <w:rPr>
                <w:lang w:val="pt-BR"/>
              </w:rPr>
            </w:pPr>
            <w:r w:rsidRPr="00463E52">
              <w:rPr>
                <w:lang w:val="pt-BR"/>
              </w:rPr>
              <w:t xml:space="preserve">Département : Engenharia Elétrica e de Computação </w:t>
            </w:r>
          </w:p>
          <w:p w:rsidR="00463E52" w:rsidRDefault="00463E52" w:rsidP="00463E52">
            <w:r>
              <w:t xml:space="preserve">Email: </w:t>
            </w:r>
            <w:hyperlink r:id="rId12" w:history="1">
              <w:r w:rsidR="0040746D" w:rsidRPr="00053AFC">
                <w:rPr>
                  <w:rStyle w:val="Hyperlink"/>
                </w:rPr>
                <w:t>coury@sc.usp.br</w:t>
              </w:r>
            </w:hyperlink>
            <w:r w:rsidR="0040746D">
              <w:t xml:space="preserve"> </w:t>
            </w:r>
          </w:p>
          <w:p w:rsidR="00463E52" w:rsidRDefault="00463E52" w:rsidP="00463E52"/>
          <w:p w:rsidR="00463E52" w:rsidRDefault="00463E52" w:rsidP="00463E52">
            <w:r>
              <w:t>Questions administratives liées à l'exécution de cette convention, à la relation avec les élèves et aux situations d'urgence avec les élèves:</w:t>
            </w:r>
          </w:p>
          <w:p w:rsidR="00463E52" w:rsidRPr="00463E52" w:rsidRDefault="00463E52" w:rsidP="00463E52">
            <w:pPr>
              <w:rPr>
                <w:lang w:val="pt-BR"/>
              </w:rPr>
            </w:pPr>
            <w:r w:rsidRPr="00463E52">
              <w:rPr>
                <w:lang w:val="pt-BR"/>
              </w:rPr>
              <w:t>Comissão de Cooperação Internacional da EESC</w:t>
            </w:r>
          </w:p>
          <w:p w:rsidR="00463E52" w:rsidRPr="00463E52" w:rsidRDefault="00463E52" w:rsidP="00463E52">
            <w:pPr>
              <w:rPr>
                <w:lang w:val="pt-BR"/>
              </w:rPr>
            </w:pPr>
            <w:r w:rsidRPr="00463E52">
              <w:rPr>
                <w:lang w:val="pt-BR"/>
              </w:rPr>
              <w:t>EESC-USP International Office.</w:t>
            </w:r>
          </w:p>
          <w:p w:rsidR="00463E52" w:rsidRPr="00463E52" w:rsidRDefault="00463E52" w:rsidP="00463E52">
            <w:pPr>
              <w:rPr>
                <w:lang w:val="pt-BR"/>
              </w:rPr>
            </w:pPr>
            <w:r w:rsidRPr="00463E52">
              <w:rPr>
                <w:lang w:val="pt-BR"/>
              </w:rPr>
              <w:t>Av. Trabalhador Saocarlense, 400, 13566-590, São Carlos-SP, Brésil</w:t>
            </w:r>
          </w:p>
          <w:p w:rsidR="00463E52" w:rsidRDefault="00463E52" w:rsidP="00463E52">
            <w:r>
              <w:t xml:space="preserve">Email </w:t>
            </w:r>
            <w:hyperlink r:id="rId13" w:history="1">
              <w:r w:rsidR="0040746D" w:rsidRPr="00053AFC">
                <w:rPr>
                  <w:rStyle w:val="Hyperlink"/>
                </w:rPr>
                <w:t>ccint@eesc.usp.br</w:t>
              </w:r>
            </w:hyperlink>
            <w:r w:rsidR="0040746D">
              <w:t xml:space="preserve"> </w:t>
            </w:r>
          </w:p>
          <w:p w:rsidR="00EA5ED9" w:rsidRDefault="00463E52" w:rsidP="00463E52">
            <w:r>
              <w:t>Téléphone: +55 16 3373 8188</w:t>
            </w:r>
          </w:p>
          <w:p w:rsidR="00463E52" w:rsidRDefault="00463E52" w:rsidP="00463E52"/>
          <w:p w:rsidR="00463E52" w:rsidRDefault="00463E52" w:rsidP="00463E52">
            <w:r w:rsidRPr="00463E52">
              <w:rPr>
                <w:b/>
              </w:rPr>
              <w:t>Article 2.2</w:t>
            </w:r>
            <w:r>
              <w:t> : Les personnes de contact à Telecom Paris pour traiter les questions de cette convention sont mentionnées par la suite.</w:t>
            </w:r>
          </w:p>
          <w:p w:rsidR="00463E52" w:rsidRDefault="00463E52" w:rsidP="00463E52"/>
          <w:p w:rsidR="00463E52" w:rsidRDefault="00463E52" w:rsidP="00463E52">
            <w:r>
              <w:t>Questions académiques associées aux termes de la convention :</w:t>
            </w:r>
          </w:p>
          <w:p w:rsidR="00463E52" w:rsidRDefault="007C31EE" w:rsidP="00463E52">
            <w:r>
              <w:t>Prof</w:t>
            </w:r>
            <w:r w:rsidR="00463E52">
              <w:t xml:space="preserve">. </w:t>
            </w:r>
            <w:r>
              <w:t>Lírida</w:t>
            </w:r>
            <w:r w:rsidR="00463E52">
              <w:t xml:space="preserve"> Naviner</w:t>
            </w:r>
          </w:p>
          <w:p w:rsidR="00463E52" w:rsidRDefault="007C31EE" w:rsidP="00463E52">
            <w:r>
              <w:t>Département Communications et Électronique</w:t>
            </w:r>
          </w:p>
          <w:p w:rsidR="00463E52" w:rsidRDefault="00463E52" w:rsidP="00463E52">
            <w:r>
              <w:t xml:space="preserve">Email : </w:t>
            </w:r>
            <w:hyperlink r:id="rId14" w:history="1">
              <w:r w:rsidR="0040746D" w:rsidRPr="00053AFC">
                <w:rPr>
                  <w:rStyle w:val="Hyperlink"/>
                </w:rPr>
                <w:t>lirida.naviner@telecom-paris.fr</w:t>
              </w:r>
            </w:hyperlink>
            <w:r w:rsidR="0040746D">
              <w:t xml:space="preserve"> </w:t>
            </w:r>
            <w:r>
              <w:t xml:space="preserve"> </w:t>
            </w:r>
          </w:p>
          <w:p w:rsidR="00463E52" w:rsidRDefault="00463E52" w:rsidP="00463E52"/>
          <w:p w:rsidR="00463E52" w:rsidRDefault="00463E52" w:rsidP="00463E52">
            <w:r>
              <w:t>Questions administratives liées à l'exécution de cette convention, à la relation avec les élèves et aux situations d'urgence avec les élèves :</w:t>
            </w:r>
          </w:p>
          <w:p w:rsidR="00463E52" w:rsidRDefault="00463E52" w:rsidP="00463E52">
            <w:r>
              <w:t>Direction des Relations Internationales de Telecom Paris</w:t>
            </w:r>
          </w:p>
          <w:p w:rsidR="00463E52" w:rsidRDefault="00463E52" w:rsidP="00463E52">
            <w:r>
              <w:t xml:space="preserve"> Email: </w:t>
            </w:r>
            <w:hyperlink r:id="rId15" w:history="1">
              <w:r w:rsidR="0040746D" w:rsidRPr="00053AFC">
                <w:rPr>
                  <w:rStyle w:val="Hyperlink"/>
                </w:rPr>
                <w:t>international@telecom-paris.fr</w:t>
              </w:r>
            </w:hyperlink>
            <w:r w:rsidR="0040746D">
              <w:t xml:space="preserve"> </w:t>
            </w:r>
          </w:p>
          <w:p w:rsidR="00463E52" w:rsidRDefault="00463E52" w:rsidP="00463E52"/>
          <w:p w:rsidR="00463E52" w:rsidRPr="00272258" w:rsidRDefault="00463E52" w:rsidP="00463E52">
            <w:r w:rsidRPr="00463E52">
              <w:rPr>
                <w:b/>
              </w:rPr>
              <w:t>Article 2.3</w:t>
            </w:r>
            <w:r>
              <w:t>: Les responsables de cette Coordination ont pour attribution de rechercher des solutions et discuter des questions académiques et administratives qui pourront apparaître pendant l’application de la présente convention, tout comme le suivi des activités.</w:t>
            </w:r>
          </w:p>
        </w:tc>
      </w:tr>
      <w:tr w:rsidR="00966376" w:rsidRPr="00272258" w:rsidTr="00DF3337">
        <w:tc>
          <w:tcPr>
            <w:tcW w:w="4632" w:type="dxa"/>
          </w:tcPr>
          <w:p w:rsidR="00966376" w:rsidRPr="000A60A7" w:rsidRDefault="00966376" w:rsidP="00272258">
            <w:pPr>
              <w:rPr>
                <w:b/>
                <w:sz w:val="22"/>
              </w:rPr>
            </w:pPr>
          </w:p>
        </w:tc>
        <w:tc>
          <w:tcPr>
            <w:tcW w:w="460" w:type="dxa"/>
          </w:tcPr>
          <w:p w:rsidR="00966376" w:rsidRPr="000A60A7" w:rsidRDefault="00966376" w:rsidP="000E2344"/>
        </w:tc>
        <w:tc>
          <w:tcPr>
            <w:tcW w:w="4684" w:type="dxa"/>
          </w:tcPr>
          <w:p w:rsidR="00966376" w:rsidRPr="00272258" w:rsidRDefault="00966376" w:rsidP="00272258">
            <w:pPr>
              <w:rPr>
                <w:b/>
                <w:sz w:val="22"/>
              </w:rPr>
            </w:pPr>
          </w:p>
        </w:tc>
      </w:tr>
      <w:tr w:rsidR="00D12C68" w:rsidRPr="00D12C68" w:rsidTr="00DF3337">
        <w:tc>
          <w:tcPr>
            <w:tcW w:w="4632" w:type="dxa"/>
          </w:tcPr>
          <w:p w:rsidR="001A67EC" w:rsidRPr="004F64F1" w:rsidRDefault="001A67EC" w:rsidP="00D12C68">
            <w:pPr>
              <w:jc w:val="center"/>
              <w:rPr>
                <w:b/>
                <w:caps/>
                <w:szCs w:val="20"/>
              </w:rPr>
            </w:pPr>
          </w:p>
          <w:p w:rsidR="001A67EC" w:rsidRPr="004F64F1" w:rsidRDefault="001A67EC" w:rsidP="00D12C68">
            <w:pPr>
              <w:jc w:val="center"/>
              <w:rPr>
                <w:b/>
                <w:caps/>
                <w:szCs w:val="20"/>
              </w:rPr>
            </w:pPr>
          </w:p>
          <w:p w:rsidR="00D12C68" w:rsidRPr="00D12C68" w:rsidRDefault="00D12C68" w:rsidP="00D12C68">
            <w:pPr>
              <w:jc w:val="center"/>
              <w:rPr>
                <w:b/>
                <w:caps/>
                <w:szCs w:val="20"/>
                <w:lang w:val="pt-BR"/>
              </w:rPr>
            </w:pPr>
            <w:r w:rsidRPr="00D12C68">
              <w:rPr>
                <w:b/>
                <w:caps/>
                <w:szCs w:val="20"/>
                <w:lang w:val="pt-BR"/>
              </w:rPr>
              <w:t>Intercâmbio do Brasil para a França</w:t>
            </w:r>
          </w:p>
          <w:p w:rsidR="00D12C68" w:rsidRPr="00FC26DB" w:rsidRDefault="00D12C68" w:rsidP="00D12C68">
            <w:pPr>
              <w:rPr>
                <w:b/>
                <w:sz w:val="22"/>
                <w:lang w:val="pt-BR"/>
              </w:rPr>
            </w:pPr>
          </w:p>
          <w:p w:rsidR="00D12C68" w:rsidRPr="00D12C68" w:rsidRDefault="00D12C68" w:rsidP="00D12C68">
            <w:pPr>
              <w:rPr>
                <w:b/>
                <w:lang w:val="pt-BR"/>
              </w:rPr>
            </w:pPr>
            <w:r w:rsidRPr="00D12C68">
              <w:rPr>
                <w:b/>
                <w:lang w:val="pt-BR"/>
              </w:rPr>
              <w:t xml:space="preserve">Artigo </w:t>
            </w:r>
            <w:r w:rsidR="00C94018">
              <w:rPr>
                <w:b/>
                <w:lang w:val="pt-BR"/>
              </w:rPr>
              <w:t>3</w:t>
            </w:r>
            <w:r w:rsidRPr="00D12C68">
              <w:rPr>
                <w:b/>
                <w:lang w:val="pt-BR"/>
              </w:rPr>
              <w:t xml:space="preserve">. Processo de admissão dos estudantes da </w:t>
            </w:r>
            <w:r w:rsidR="00D612B2">
              <w:rPr>
                <w:b/>
                <w:lang w:val="pt-BR"/>
              </w:rPr>
              <w:t>EESC</w:t>
            </w:r>
          </w:p>
          <w:p w:rsidR="00D12C68" w:rsidRPr="00FC26DB" w:rsidRDefault="00D12C68" w:rsidP="00D12C68">
            <w:pPr>
              <w:rPr>
                <w:lang w:val="pt-BR"/>
              </w:rPr>
            </w:pPr>
          </w:p>
          <w:p w:rsidR="00D12C68" w:rsidRPr="00FC26DB" w:rsidRDefault="00D12C68" w:rsidP="00D12C68">
            <w:pPr>
              <w:rPr>
                <w:lang w:val="pt-BR"/>
              </w:rPr>
            </w:pPr>
            <w:r w:rsidRPr="00D12C68">
              <w:rPr>
                <w:b/>
                <w:lang w:val="pt-BR"/>
              </w:rPr>
              <w:t xml:space="preserve">Artigo </w:t>
            </w:r>
            <w:r w:rsidR="00C94018">
              <w:rPr>
                <w:b/>
                <w:lang w:val="pt-BR"/>
              </w:rPr>
              <w:t>3</w:t>
            </w:r>
            <w:r w:rsidRPr="00D12C68">
              <w:rPr>
                <w:b/>
                <w:lang w:val="pt-BR"/>
              </w:rPr>
              <w:t>.1</w:t>
            </w:r>
            <w:r>
              <w:rPr>
                <w:lang w:val="pt-BR"/>
              </w:rPr>
              <w:t xml:space="preserve">: </w:t>
            </w:r>
            <w:r w:rsidRPr="00FC26DB">
              <w:rPr>
                <w:lang w:val="pt-BR"/>
              </w:rPr>
              <w:t xml:space="preserve">O estudante da </w:t>
            </w:r>
            <w:r w:rsidR="00D612B2">
              <w:rPr>
                <w:lang w:val="pt-BR"/>
              </w:rPr>
              <w:t>EESC</w:t>
            </w:r>
            <w:r w:rsidRPr="00FC26DB">
              <w:rPr>
                <w:lang w:val="pt-BR"/>
              </w:rPr>
              <w:t xml:space="preserve"> deverá ter cumprido com sucesso pelo menos 7 semestres de estudos do curso de graduação para a obtenção de um diploma de engenheiro deste estabelecimento, antes do início dos estudos na Telecom </w:t>
            </w:r>
            <w:r w:rsidR="000A2A07">
              <w:rPr>
                <w:lang w:val="pt-BR"/>
              </w:rPr>
              <w:t>Paris</w:t>
            </w:r>
            <w:r w:rsidRPr="00FC26DB">
              <w:rPr>
                <w:lang w:val="pt-BR"/>
              </w:rPr>
              <w:t>.</w:t>
            </w:r>
          </w:p>
          <w:p w:rsidR="00D12C68" w:rsidRPr="00D12C68" w:rsidRDefault="00D12C68" w:rsidP="00D12C68">
            <w:pPr>
              <w:jc w:val="center"/>
              <w:rPr>
                <w:b/>
                <w:caps/>
                <w:szCs w:val="20"/>
                <w:lang w:val="pt-BR"/>
              </w:rPr>
            </w:pPr>
          </w:p>
        </w:tc>
        <w:tc>
          <w:tcPr>
            <w:tcW w:w="460" w:type="dxa"/>
          </w:tcPr>
          <w:p w:rsidR="00D12C68" w:rsidRPr="00FC26DB" w:rsidRDefault="00D12C68" w:rsidP="000E2344">
            <w:pPr>
              <w:rPr>
                <w:lang w:val="pt-BR"/>
              </w:rPr>
            </w:pPr>
          </w:p>
        </w:tc>
        <w:tc>
          <w:tcPr>
            <w:tcW w:w="4684" w:type="dxa"/>
          </w:tcPr>
          <w:p w:rsidR="001A67EC" w:rsidRDefault="001A67EC" w:rsidP="00D12C68">
            <w:pPr>
              <w:jc w:val="center"/>
              <w:rPr>
                <w:b/>
                <w:caps/>
                <w:szCs w:val="20"/>
              </w:rPr>
            </w:pPr>
          </w:p>
          <w:p w:rsidR="001A67EC" w:rsidRDefault="001A67EC" w:rsidP="00D12C68">
            <w:pPr>
              <w:jc w:val="center"/>
              <w:rPr>
                <w:b/>
                <w:caps/>
                <w:szCs w:val="20"/>
              </w:rPr>
            </w:pPr>
          </w:p>
          <w:p w:rsidR="00D12C68" w:rsidRPr="00D12C68" w:rsidRDefault="00D12C68" w:rsidP="00D12C68">
            <w:pPr>
              <w:jc w:val="center"/>
              <w:rPr>
                <w:b/>
                <w:caps/>
                <w:szCs w:val="20"/>
              </w:rPr>
            </w:pPr>
            <w:r w:rsidRPr="00D12C68">
              <w:rPr>
                <w:b/>
                <w:caps/>
                <w:szCs w:val="20"/>
              </w:rPr>
              <w:t>Échanges du Brésil vers la France</w:t>
            </w:r>
          </w:p>
          <w:p w:rsidR="00D12C68" w:rsidRPr="00FC26DB" w:rsidRDefault="00D12C68" w:rsidP="00D12C68"/>
          <w:p w:rsidR="00D12C68" w:rsidRPr="00D12C68" w:rsidRDefault="00D12C68" w:rsidP="00D12C68">
            <w:pPr>
              <w:rPr>
                <w:b/>
              </w:rPr>
            </w:pPr>
            <w:r w:rsidRPr="00D12C68">
              <w:rPr>
                <w:b/>
              </w:rPr>
              <w:t xml:space="preserve">Article </w:t>
            </w:r>
            <w:r w:rsidR="00C94018">
              <w:rPr>
                <w:b/>
              </w:rPr>
              <w:t>3</w:t>
            </w:r>
            <w:r w:rsidRPr="00D12C68">
              <w:rPr>
                <w:b/>
              </w:rPr>
              <w:t>. Processus d’admission des étudiants de l’</w:t>
            </w:r>
            <w:r w:rsidR="00D612B2">
              <w:rPr>
                <w:b/>
              </w:rPr>
              <w:t>EESC</w:t>
            </w:r>
          </w:p>
          <w:p w:rsidR="00D12C68" w:rsidRPr="00FC26DB" w:rsidRDefault="00D12C68" w:rsidP="00D12C68"/>
          <w:p w:rsidR="00D12C68" w:rsidRPr="00FC26DB" w:rsidRDefault="00D12C68" w:rsidP="00D12C68">
            <w:r w:rsidRPr="00C94018">
              <w:rPr>
                <w:b/>
              </w:rPr>
              <w:t xml:space="preserve">Article </w:t>
            </w:r>
            <w:r w:rsidR="00C94018" w:rsidRPr="00C94018">
              <w:rPr>
                <w:b/>
              </w:rPr>
              <w:t>3</w:t>
            </w:r>
            <w:r w:rsidRPr="00C94018">
              <w:rPr>
                <w:b/>
              </w:rPr>
              <w:t>.1</w:t>
            </w:r>
            <w:r>
              <w:t xml:space="preserve">: </w:t>
            </w:r>
            <w:r w:rsidRPr="00FC26DB">
              <w:t>L’étudiant de l’</w:t>
            </w:r>
            <w:r w:rsidR="00D612B2">
              <w:t>EESC</w:t>
            </w:r>
            <w:r w:rsidRPr="00FC26DB">
              <w:t xml:space="preserve"> doit y avoir validé avec succès au moins 7 semestres d’études supérieures comptant pour un diplôme d’ingénieur de cet établissement avant sa rentrée à Telecom </w:t>
            </w:r>
            <w:r w:rsidR="000A2A07">
              <w:t>Paris</w:t>
            </w:r>
            <w:r w:rsidRPr="00FC26DB">
              <w:t>.</w:t>
            </w:r>
          </w:p>
          <w:p w:rsidR="00D12C68" w:rsidRPr="00D12C68" w:rsidRDefault="00D12C68" w:rsidP="00D12C68">
            <w:pPr>
              <w:jc w:val="center"/>
              <w:rPr>
                <w:b/>
                <w:caps/>
                <w:szCs w:val="20"/>
              </w:rPr>
            </w:pPr>
          </w:p>
        </w:tc>
      </w:tr>
      <w:tr w:rsidR="00D12C68" w:rsidRPr="00272258" w:rsidTr="00DF3337">
        <w:tc>
          <w:tcPr>
            <w:tcW w:w="4632" w:type="dxa"/>
          </w:tcPr>
          <w:p w:rsidR="00D12C68" w:rsidRPr="00FC26DB" w:rsidRDefault="00D12C68" w:rsidP="00D12C68">
            <w:pPr>
              <w:rPr>
                <w:lang w:val="pt-BR"/>
              </w:rPr>
            </w:pPr>
            <w:r w:rsidRPr="00D12C68">
              <w:rPr>
                <w:b/>
                <w:lang w:val="pt-BR"/>
              </w:rPr>
              <w:lastRenderedPageBreak/>
              <w:t xml:space="preserve">Artigo </w:t>
            </w:r>
            <w:r w:rsidR="00C94018">
              <w:rPr>
                <w:b/>
                <w:lang w:val="pt-BR"/>
              </w:rPr>
              <w:t>3</w:t>
            </w:r>
            <w:r w:rsidRPr="00D12C68">
              <w:rPr>
                <w:b/>
                <w:lang w:val="pt-BR"/>
              </w:rPr>
              <w:t>.2</w:t>
            </w:r>
            <w:r>
              <w:rPr>
                <w:lang w:val="pt-BR"/>
              </w:rPr>
              <w:t xml:space="preserve">: </w:t>
            </w:r>
            <w:r w:rsidRPr="00FC26DB">
              <w:rPr>
                <w:lang w:val="pt-BR"/>
              </w:rPr>
              <w:t xml:space="preserve">O Processo de admissão dos estudantes da </w:t>
            </w:r>
            <w:r w:rsidR="00D612B2">
              <w:rPr>
                <w:lang w:val="pt-BR"/>
              </w:rPr>
              <w:t>EESC</w:t>
            </w:r>
            <w:r w:rsidRPr="00FC26DB">
              <w:rPr>
                <w:lang w:val="pt-BR"/>
              </w:rPr>
              <w:t xml:space="preserve"> incluirá:</w:t>
            </w:r>
          </w:p>
          <w:p w:rsidR="00D12C68" w:rsidRPr="00D12C68" w:rsidRDefault="00D12C68" w:rsidP="00D12C68">
            <w:pPr>
              <w:pStyle w:val="PargrafodaLista"/>
              <w:numPr>
                <w:ilvl w:val="0"/>
                <w:numId w:val="5"/>
              </w:numPr>
              <w:ind w:left="426"/>
              <w:rPr>
                <w:lang w:val="pt-BR"/>
              </w:rPr>
            </w:pPr>
            <w:r w:rsidRPr="00D12C68">
              <w:rPr>
                <w:lang w:val="pt-BR"/>
              </w:rPr>
              <w:t xml:space="preserve">Uma pré-seleção das candidaturas efetuada pela </w:t>
            </w:r>
            <w:r w:rsidR="00D612B2">
              <w:rPr>
                <w:lang w:val="pt-BR"/>
              </w:rPr>
              <w:t>EESC</w:t>
            </w:r>
            <w:r w:rsidRPr="00D12C68">
              <w:rPr>
                <w:lang w:val="pt-BR"/>
              </w:rPr>
              <w:t>;</w:t>
            </w:r>
          </w:p>
          <w:p w:rsidR="00D12C68" w:rsidRPr="00D12C68" w:rsidRDefault="00D12C68" w:rsidP="00D12C68">
            <w:pPr>
              <w:pStyle w:val="PargrafodaLista"/>
              <w:numPr>
                <w:ilvl w:val="0"/>
                <w:numId w:val="5"/>
              </w:numPr>
              <w:ind w:left="426"/>
              <w:rPr>
                <w:lang w:val="pt-BR"/>
              </w:rPr>
            </w:pPr>
            <w:r w:rsidRPr="00D12C68">
              <w:rPr>
                <w:lang w:val="pt-BR"/>
              </w:rPr>
              <w:t xml:space="preserve">Um ato de candidatura pessoal, através do site de candidatura on-line </w:t>
            </w:r>
            <w:r w:rsidR="003771BB">
              <w:rPr>
                <w:lang w:val="pt-BR"/>
              </w:rPr>
              <w:t>indicado por Telecom Paris</w:t>
            </w:r>
            <w:r w:rsidRPr="00D12C68">
              <w:rPr>
                <w:lang w:val="pt-BR"/>
              </w:rPr>
              <w:t>;</w:t>
            </w:r>
          </w:p>
          <w:p w:rsidR="00D12C68" w:rsidRPr="00D12C68" w:rsidRDefault="00D12C68" w:rsidP="00D12C68">
            <w:pPr>
              <w:pStyle w:val="PargrafodaLista"/>
              <w:numPr>
                <w:ilvl w:val="0"/>
                <w:numId w:val="5"/>
              </w:numPr>
              <w:ind w:left="426"/>
              <w:rPr>
                <w:lang w:val="pt-BR"/>
              </w:rPr>
            </w:pPr>
            <w:r w:rsidRPr="00D12C68">
              <w:rPr>
                <w:lang w:val="pt-BR"/>
              </w:rPr>
              <w:t xml:space="preserve">Uma análise documental das candidaturas por Telecom </w:t>
            </w:r>
            <w:r w:rsidR="000A2A07">
              <w:rPr>
                <w:lang w:val="pt-BR"/>
              </w:rPr>
              <w:t>Paris</w:t>
            </w:r>
            <w:r w:rsidRPr="00D12C68">
              <w:rPr>
                <w:lang w:val="pt-BR"/>
              </w:rPr>
              <w:t>;</w:t>
            </w:r>
          </w:p>
          <w:p w:rsidR="00D12C68" w:rsidRPr="00D12C68" w:rsidRDefault="00D12C68" w:rsidP="00D12C68">
            <w:pPr>
              <w:pStyle w:val="PargrafodaLista"/>
              <w:numPr>
                <w:ilvl w:val="0"/>
                <w:numId w:val="5"/>
              </w:numPr>
              <w:ind w:left="426"/>
              <w:rPr>
                <w:lang w:val="pt-BR"/>
              </w:rPr>
            </w:pPr>
            <w:r w:rsidRPr="00D12C68">
              <w:rPr>
                <w:lang w:val="pt-BR"/>
              </w:rPr>
              <w:t>Uma prova científica escrita (não obrigatória);</w:t>
            </w:r>
          </w:p>
          <w:p w:rsidR="00D12C68" w:rsidRPr="00D12C68" w:rsidRDefault="00D12C68" w:rsidP="00D12C68">
            <w:pPr>
              <w:pStyle w:val="PargrafodaLista"/>
              <w:numPr>
                <w:ilvl w:val="0"/>
                <w:numId w:val="5"/>
              </w:numPr>
              <w:ind w:left="426"/>
              <w:rPr>
                <w:lang w:val="pt-BR"/>
              </w:rPr>
            </w:pPr>
            <w:r w:rsidRPr="00D12C68">
              <w:rPr>
                <w:lang w:val="pt-BR"/>
              </w:rPr>
              <w:t>Uma entrevista oral de motivação e orientação;</w:t>
            </w:r>
          </w:p>
          <w:p w:rsidR="00D12C68" w:rsidRPr="00D12C68" w:rsidRDefault="00D12C68" w:rsidP="00D12C68">
            <w:pPr>
              <w:pStyle w:val="PargrafodaLista"/>
              <w:numPr>
                <w:ilvl w:val="0"/>
                <w:numId w:val="5"/>
              </w:numPr>
              <w:ind w:left="426"/>
              <w:rPr>
                <w:lang w:val="pt-BR"/>
              </w:rPr>
            </w:pPr>
            <w:r w:rsidRPr="00D12C68">
              <w:rPr>
                <w:lang w:val="pt-BR"/>
              </w:rPr>
              <w:t>A admissão por um júri e</w:t>
            </w:r>
            <w:r>
              <w:rPr>
                <w:lang w:val="pt-BR"/>
              </w:rPr>
              <w:t>spec</w:t>
            </w:r>
            <w:r w:rsidR="00B65F36">
              <w:rPr>
                <w:lang w:val="pt-BR"/>
              </w:rPr>
              <w:t>í</w:t>
            </w:r>
            <w:r>
              <w:rPr>
                <w:lang w:val="pt-BR"/>
              </w:rPr>
              <w:t>fico d</w:t>
            </w:r>
            <w:r w:rsidR="00E861D6">
              <w:rPr>
                <w:lang w:val="pt-BR"/>
              </w:rPr>
              <w:t>a</w:t>
            </w:r>
            <w:r>
              <w:rPr>
                <w:lang w:val="pt-BR"/>
              </w:rPr>
              <w:t xml:space="preserve"> Telecom </w:t>
            </w:r>
            <w:r w:rsidR="000A2A07">
              <w:rPr>
                <w:lang w:val="pt-BR"/>
              </w:rPr>
              <w:t>Paris</w:t>
            </w:r>
            <w:r>
              <w:rPr>
                <w:lang w:val="pt-BR"/>
              </w:rPr>
              <w:t>;</w:t>
            </w:r>
          </w:p>
          <w:p w:rsidR="00D12C68" w:rsidRPr="00D12C68" w:rsidRDefault="00D12C68" w:rsidP="00D12C68">
            <w:pPr>
              <w:pStyle w:val="PargrafodaLista"/>
              <w:numPr>
                <w:ilvl w:val="0"/>
                <w:numId w:val="5"/>
              </w:numPr>
              <w:ind w:left="426"/>
              <w:rPr>
                <w:lang w:val="pt-BR"/>
              </w:rPr>
            </w:pPr>
            <w:r w:rsidRPr="00D12C68">
              <w:rPr>
                <w:lang w:val="pt-BR"/>
              </w:rPr>
              <w:t>A aceitação do estudante.</w:t>
            </w:r>
          </w:p>
          <w:p w:rsidR="00D12C68" w:rsidRPr="00D12C68" w:rsidRDefault="00D12C68" w:rsidP="00FC26DB">
            <w:pPr>
              <w:rPr>
                <w:lang w:val="pt-BR"/>
              </w:rPr>
            </w:pPr>
          </w:p>
        </w:tc>
        <w:tc>
          <w:tcPr>
            <w:tcW w:w="460" w:type="dxa"/>
          </w:tcPr>
          <w:p w:rsidR="00D12C68" w:rsidRPr="00FC26DB" w:rsidRDefault="00D12C68" w:rsidP="000E2344">
            <w:pPr>
              <w:rPr>
                <w:lang w:val="pt-BR"/>
              </w:rPr>
            </w:pPr>
          </w:p>
        </w:tc>
        <w:tc>
          <w:tcPr>
            <w:tcW w:w="4684" w:type="dxa"/>
          </w:tcPr>
          <w:p w:rsidR="00D12C68" w:rsidRPr="00FC26DB" w:rsidRDefault="00D12C68" w:rsidP="00D12C68">
            <w:r w:rsidRPr="00D12C68">
              <w:rPr>
                <w:b/>
              </w:rPr>
              <w:t xml:space="preserve">Article </w:t>
            </w:r>
            <w:r w:rsidR="00C94018">
              <w:rPr>
                <w:b/>
              </w:rPr>
              <w:t>3</w:t>
            </w:r>
            <w:r w:rsidRPr="00D12C68">
              <w:rPr>
                <w:b/>
              </w:rPr>
              <w:t>.2</w:t>
            </w:r>
            <w:r>
              <w:t xml:space="preserve">: </w:t>
            </w:r>
            <w:r w:rsidRPr="00FC26DB">
              <w:t>Le processus d’admission des étudiants de l’</w:t>
            </w:r>
            <w:r w:rsidR="00D612B2">
              <w:t>EESC</w:t>
            </w:r>
            <w:r>
              <w:t xml:space="preserve"> </w:t>
            </w:r>
            <w:r w:rsidRPr="00FC26DB">
              <w:t>comprend :</w:t>
            </w:r>
          </w:p>
          <w:p w:rsidR="00D12C68" w:rsidRPr="00FC26DB" w:rsidRDefault="00D12C68" w:rsidP="00D12C68">
            <w:pPr>
              <w:pStyle w:val="PargrafodaLista"/>
              <w:numPr>
                <w:ilvl w:val="0"/>
                <w:numId w:val="6"/>
              </w:numPr>
              <w:ind w:left="375"/>
            </w:pPr>
            <w:r w:rsidRPr="00FC26DB">
              <w:t>une présélection des candidatures effectuée par l’</w:t>
            </w:r>
            <w:r w:rsidR="00D612B2">
              <w:t>EESC</w:t>
            </w:r>
            <w:r w:rsidRPr="00FC26DB">
              <w:t xml:space="preserve"> ;</w:t>
            </w:r>
          </w:p>
          <w:p w:rsidR="00D12C68" w:rsidRPr="00FC26DB" w:rsidRDefault="00D12C68" w:rsidP="00D12C68">
            <w:pPr>
              <w:pStyle w:val="PargrafodaLista"/>
              <w:numPr>
                <w:ilvl w:val="0"/>
                <w:numId w:val="6"/>
              </w:numPr>
              <w:ind w:left="375"/>
            </w:pPr>
            <w:r w:rsidRPr="00FC26DB">
              <w:t xml:space="preserve">un acte de candidature personnel via le site de candidature en ligne </w:t>
            </w:r>
            <w:r w:rsidR="003771BB">
              <w:t>indiqué par Telecom</w:t>
            </w:r>
            <w:r w:rsidRPr="00FC26DB">
              <w:t xml:space="preserve"> </w:t>
            </w:r>
            <w:r w:rsidR="000A2A07">
              <w:t>Paris</w:t>
            </w:r>
            <w:r w:rsidRPr="00FC26DB">
              <w:t xml:space="preserve"> ;</w:t>
            </w:r>
          </w:p>
          <w:p w:rsidR="00D12C68" w:rsidRPr="00FC26DB" w:rsidRDefault="00D12C68" w:rsidP="00D12C68">
            <w:pPr>
              <w:pStyle w:val="PargrafodaLista"/>
              <w:numPr>
                <w:ilvl w:val="0"/>
                <w:numId w:val="6"/>
              </w:numPr>
              <w:ind w:left="375"/>
            </w:pPr>
            <w:r w:rsidRPr="00FC26DB">
              <w:t xml:space="preserve">une analyse des documents de candidature par Telecom </w:t>
            </w:r>
            <w:r w:rsidR="000A2A07">
              <w:t>Paris</w:t>
            </w:r>
            <w:r w:rsidRPr="00FC26DB">
              <w:t xml:space="preserve"> ;</w:t>
            </w:r>
          </w:p>
          <w:p w:rsidR="00D12C68" w:rsidRPr="00FC26DB" w:rsidRDefault="00D12C68" w:rsidP="00D12C68">
            <w:pPr>
              <w:pStyle w:val="PargrafodaLista"/>
              <w:numPr>
                <w:ilvl w:val="0"/>
                <w:numId w:val="6"/>
              </w:numPr>
              <w:ind w:left="375"/>
            </w:pPr>
            <w:r w:rsidRPr="00FC26DB">
              <w:t>une épreuve scientifique écrite (non obligatoire) ;</w:t>
            </w:r>
          </w:p>
          <w:p w:rsidR="00D12C68" w:rsidRPr="00FC26DB" w:rsidRDefault="00D12C68" w:rsidP="00D12C68">
            <w:pPr>
              <w:pStyle w:val="PargrafodaLista"/>
              <w:numPr>
                <w:ilvl w:val="0"/>
                <w:numId w:val="6"/>
              </w:numPr>
              <w:ind w:left="375"/>
            </w:pPr>
            <w:r w:rsidRPr="00FC26DB">
              <w:t>un entretien oral de motivation et orientation ;</w:t>
            </w:r>
          </w:p>
          <w:p w:rsidR="00D12C68" w:rsidRPr="00FC26DB" w:rsidRDefault="00D12C68" w:rsidP="00D12C68">
            <w:pPr>
              <w:pStyle w:val="PargrafodaLista"/>
              <w:numPr>
                <w:ilvl w:val="0"/>
                <w:numId w:val="6"/>
              </w:numPr>
              <w:ind w:left="375"/>
            </w:pPr>
            <w:r w:rsidRPr="00FC26DB">
              <w:t>une décision d’admission par un ju</w:t>
            </w:r>
            <w:r>
              <w:t xml:space="preserve">ry propre à Telecom </w:t>
            </w:r>
            <w:r w:rsidR="000A2A07">
              <w:t>Paris</w:t>
            </w:r>
            <w:r>
              <w:t xml:space="preserve"> ;</w:t>
            </w:r>
          </w:p>
          <w:p w:rsidR="00D12C68" w:rsidRPr="00FC26DB" w:rsidRDefault="00D12C68" w:rsidP="00D12C68">
            <w:pPr>
              <w:pStyle w:val="PargrafodaLista"/>
              <w:numPr>
                <w:ilvl w:val="0"/>
                <w:numId w:val="6"/>
              </w:numPr>
              <w:ind w:left="375"/>
            </w:pPr>
            <w:r w:rsidRPr="00FC26DB">
              <w:t xml:space="preserve">l’acceptation de l’admission par l’étudiant. </w:t>
            </w:r>
          </w:p>
          <w:p w:rsidR="00D12C68" w:rsidRDefault="00D12C68" w:rsidP="00FC26DB"/>
        </w:tc>
      </w:tr>
      <w:tr w:rsidR="00D12C68" w:rsidRPr="00D12C68" w:rsidTr="00DF3337">
        <w:tc>
          <w:tcPr>
            <w:tcW w:w="4632" w:type="dxa"/>
          </w:tcPr>
          <w:p w:rsidR="00D12C68" w:rsidRPr="00D12C68" w:rsidRDefault="00D12C68" w:rsidP="001A67EC">
            <w:pPr>
              <w:rPr>
                <w:lang w:val="pt-BR"/>
              </w:rPr>
            </w:pPr>
            <w:r w:rsidRPr="00FC26DB">
              <w:rPr>
                <w:lang w:val="pt-BR"/>
              </w:rPr>
              <w:t xml:space="preserve">Artigo </w:t>
            </w:r>
            <w:r w:rsidR="00C94018">
              <w:rPr>
                <w:lang w:val="pt-BR"/>
              </w:rPr>
              <w:t>3</w:t>
            </w:r>
            <w:r w:rsidRPr="00FC26DB">
              <w:rPr>
                <w:lang w:val="pt-BR"/>
              </w:rPr>
              <w:t>.3</w:t>
            </w:r>
            <w:r>
              <w:rPr>
                <w:lang w:val="pt-BR"/>
              </w:rPr>
              <w:t xml:space="preserve">: </w:t>
            </w:r>
            <w:r w:rsidRPr="00FC26DB">
              <w:rPr>
                <w:lang w:val="pt-BR"/>
              </w:rPr>
              <w:t>O número m</w:t>
            </w:r>
            <w:r>
              <w:rPr>
                <w:lang w:val="pt-BR"/>
              </w:rPr>
              <w:t>á</w:t>
            </w:r>
            <w:r w:rsidRPr="00FC26DB">
              <w:rPr>
                <w:lang w:val="pt-BR"/>
              </w:rPr>
              <w:t xml:space="preserve">ximo de estudantes pré-selecionados pela </w:t>
            </w:r>
            <w:r w:rsidR="00D612B2">
              <w:rPr>
                <w:lang w:val="pt-BR"/>
              </w:rPr>
              <w:t>EESC</w:t>
            </w:r>
            <w:r w:rsidRPr="00FC26DB">
              <w:rPr>
                <w:lang w:val="pt-BR"/>
              </w:rPr>
              <w:t xml:space="preserve"> e propostos a Telecom </w:t>
            </w:r>
            <w:r w:rsidR="000A2A07">
              <w:rPr>
                <w:lang w:val="pt-BR"/>
              </w:rPr>
              <w:t>Paris</w:t>
            </w:r>
            <w:r w:rsidRPr="00FC26DB">
              <w:rPr>
                <w:lang w:val="pt-BR"/>
              </w:rPr>
              <w:t xml:space="preserve"> será determinado cada ano de co</w:t>
            </w:r>
            <w:r>
              <w:rPr>
                <w:lang w:val="pt-BR"/>
              </w:rPr>
              <w:t>mum acordo e com antecedência mí</w:t>
            </w:r>
            <w:r w:rsidRPr="00FC26DB">
              <w:rPr>
                <w:lang w:val="pt-BR"/>
              </w:rPr>
              <w:t>nima de uma semana antes da data de encerramento das inscrições on-line d</w:t>
            </w:r>
            <w:r w:rsidR="00E861D6">
              <w:rPr>
                <w:lang w:val="pt-BR"/>
              </w:rPr>
              <w:t>a</w:t>
            </w:r>
            <w:r w:rsidRPr="00FC26DB">
              <w:rPr>
                <w:lang w:val="pt-BR"/>
              </w:rPr>
              <w:t xml:space="preserve"> </w:t>
            </w:r>
            <w:r w:rsidR="000A2A07">
              <w:rPr>
                <w:lang w:val="pt-BR"/>
              </w:rPr>
              <w:t>Paris</w:t>
            </w:r>
            <w:r w:rsidRPr="00FC26DB">
              <w:rPr>
                <w:lang w:val="pt-BR"/>
              </w:rPr>
              <w:t>.</w:t>
            </w:r>
          </w:p>
        </w:tc>
        <w:tc>
          <w:tcPr>
            <w:tcW w:w="460" w:type="dxa"/>
          </w:tcPr>
          <w:p w:rsidR="00D12C68" w:rsidRPr="00FC26DB" w:rsidRDefault="00D12C68" w:rsidP="000E2344">
            <w:pPr>
              <w:rPr>
                <w:lang w:val="pt-BR"/>
              </w:rPr>
            </w:pPr>
          </w:p>
        </w:tc>
        <w:tc>
          <w:tcPr>
            <w:tcW w:w="4684" w:type="dxa"/>
          </w:tcPr>
          <w:p w:rsidR="00D12C68" w:rsidRPr="00D12C68" w:rsidRDefault="00D12C68" w:rsidP="00C94018">
            <w:r w:rsidRPr="00FC26DB">
              <w:t xml:space="preserve">Article </w:t>
            </w:r>
            <w:r w:rsidR="00C94018">
              <w:t>3</w:t>
            </w:r>
            <w:r w:rsidRPr="00FC26DB">
              <w:t>.3</w:t>
            </w:r>
            <w:r>
              <w:t xml:space="preserve">: </w:t>
            </w:r>
            <w:r w:rsidRPr="00FC26DB">
              <w:t>Le nombre maximal d’étudiants présélectionnés par l’</w:t>
            </w:r>
            <w:r w:rsidR="00D612B2">
              <w:t>EESC</w:t>
            </w:r>
            <w:r w:rsidRPr="00FC26DB">
              <w:t xml:space="preserve"> et proposés à Telecom </w:t>
            </w:r>
            <w:r w:rsidR="000A2A07">
              <w:t>Paris</w:t>
            </w:r>
            <w:r w:rsidRPr="00FC26DB">
              <w:t xml:space="preserve"> sera fixé chaque année d’un commun accord et au plus tard une semaine avant la date de clôture des inscriptions en ligne de </w:t>
            </w:r>
            <w:r w:rsidR="000A2A07">
              <w:t>Paris</w:t>
            </w:r>
            <w:r w:rsidRPr="00FC26DB">
              <w:t>.</w:t>
            </w:r>
          </w:p>
        </w:tc>
      </w:tr>
      <w:tr w:rsidR="00A75874" w:rsidTr="00DF3337">
        <w:tc>
          <w:tcPr>
            <w:tcW w:w="4632" w:type="dxa"/>
          </w:tcPr>
          <w:p w:rsidR="00A75874" w:rsidRDefault="00A75874" w:rsidP="00601025"/>
        </w:tc>
        <w:tc>
          <w:tcPr>
            <w:tcW w:w="460" w:type="dxa"/>
          </w:tcPr>
          <w:p w:rsidR="00A75874" w:rsidRDefault="00A75874" w:rsidP="00601025"/>
        </w:tc>
        <w:tc>
          <w:tcPr>
            <w:tcW w:w="4684" w:type="dxa"/>
          </w:tcPr>
          <w:p w:rsidR="00A75874" w:rsidRDefault="00A75874" w:rsidP="00601025"/>
        </w:tc>
      </w:tr>
      <w:tr w:rsidR="00D12C68" w:rsidRPr="00D12C68" w:rsidTr="00DF3337">
        <w:tc>
          <w:tcPr>
            <w:tcW w:w="4632" w:type="dxa"/>
          </w:tcPr>
          <w:p w:rsidR="00D12C68" w:rsidRPr="00D12C68" w:rsidRDefault="00D12C68" w:rsidP="00D12C68">
            <w:pPr>
              <w:rPr>
                <w:b/>
                <w:lang w:val="pt-BR"/>
              </w:rPr>
            </w:pPr>
            <w:r w:rsidRPr="00D12C68">
              <w:rPr>
                <w:b/>
                <w:lang w:val="pt-BR"/>
              </w:rPr>
              <w:t xml:space="preserve">Artigo </w:t>
            </w:r>
            <w:r w:rsidR="00C94018">
              <w:rPr>
                <w:b/>
                <w:lang w:val="pt-BR"/>
              </w:rPr>
              <w:t>4</w:t>
            </w:r>
            <w:r w:rsidRPr="00D12C68">
              <w:rPr>
                <w:b/>
                <w:lang w:val="pt-BR"/>
              </w:rPr>
              <w:t xml:space="preserve">. Duração dos estudos em Telecom </w:t>
            </w:r>
            <w:r w:rsidR="000A2A07">
              <w:rPr>
                <w:b/>
                <w:lang w:val="pt-BR"/>
              </w:rPr>
              <w:t>Paris</w:t>
            </w:r>
          </w:p>
          <w:p w:rsidR="00D12C68" w:rsidRPr="00FC26DB" w:rsidRDefault="00D12C68" w:rsidP="00D12C68">
            <w:pPr>
              <w:rPr>
                <w:lang w:val="pt-BR"/>
              </w:rPr>
            </w:pPr>
          </w:p>
          <w:p w:rsidR="00D12C68" w:rsidRPr="00D12C68" w:rsidRDefault="00D12C68" w:rsidP="00FC26DB">
            <w:pPr>
              <w:rPr>
                <w:lang w:val="pt-BR"/>
              </w:rPr>
            </w:pPr>
            <w:r w:rsidRPr="00FC26DB">
              <w:rPr>
                <w:lang w:val="pt-BR"/>
              </w:rPr>
              <w:t>A duração dos estudos n</w:t>
            </w:r>
            <w:r w:rsidR="00E861D6">
              <w:rPr>
                <w:lang w:val="pt-BR"/>
              </w:rPr>
              <w:t>o</w:t>
            </w:r>
            <w:r w:rsidRPr="00FC26DB">
              <w:rPr>
                <w:lang w:val="pt-BR"/>
              </w:rPr>
              <w:t xml:space="preserve"> EA será de no mínimo 4 semestres</w:t>
            </w:r>
            <w:r>
              <w:rPr>
                <w:lang w:val="pt-BR"/>
              </w:rPr>
              <w:t>, correspondendo à validação de 120 ECTS.</w:t>
            </w:r>
          </w:p>
        </w:tc>
        <w:tc>
          <w:tcPr>
            <w:tcW w:w="460" w:type="dxa"/>
          </w:tcPr>
          <w:p w:rsidR="00D12C68" w:rsidRPr="00FC26DB" w:rsidRDefault="00D12C68" w:rsidP="000E2344">
            <w:pPr>
              <w:rPr>
                <w:lang w:val="pt-BR"/>
              </w:rPr>
            </w:pPr>
          </w:p>
        </w:tc>
        <w:tc>
          <w:tcPr>
            <w:tcW w:w="4684" w:type="dxa"/>
          </w:tcPr>
          <w:p w:rsidR="00D12C68" w:rsidRPr="00D12C68" w:rsidRDefault="00D12C68" w:rsidP="00D12C68">
            <w:pPr>
              <w:rPr>
                <w:b/>
              </w:rPr>
            </w:pPr>
            <w:r w:rsidRPr="00D12C68">
              <w:rPr>
                <w:b/>
              </w:rPr>
              <w:t xml:space="preserve">Article </w:t>
            </w:r>
            <w:r w:rsidR="00C94018">
              <w:rPr>
                <w:b/>
              </w:rPr>
              <w:t>4</w:t>
            </w:r>
            <w:r w:rsidRPr="00D12C68">
              <w:rPr>
                <w:b/>
              </w:rPr>
              <w:t xml:space="preserve">. Durée des études à Telecom </w:t>
            </w:r>
            <w:r w:rsidR="000A2A07">
              <w:rPr>
                <w:b/>
              </w:rPr>
              <w:t>Paris</w:t>
            </w:r>
          </w:p>
          <w:p w:rsidR="00D12C68" w:rsidRPr="00FC26DB" w:rsidRDefault="00D12C68" w:rsidP="00D12C68"/>
          <w:p w:rsidR="00D12C68" w:rsidRPr="00D12C68" w:rsidRDefault="00D12C68" w:rsidP="00FC26DB">
            <w:r w:rsidRPr="00FC26DB">
              <w:t xml:space="preserve">La durée des études à Telecom </w:t>
            </w:r>
            <w:r w:rsidR="000A2A07">
              <w:t>Paris</w:t>
            </w:r>
            <w:r w:rsidRPr="00FC26DB">
              <w:t xml:space="preserve"> est d’au moins 4 semestres</w:t>
            </w:r>
            <w:r>
              <w:t>, correspondant à la validation de 120 ECTS</w:t>
            </w:r>
            <w:r w:rsidRPr="00FC26DB">
              <w:t>.</w:t>
            </w:r>
          </w:p>
        </w:tc>
      </w:tr>
      <w:tr w:rsidR="00A75874" w:rsidTr="00DF3337">
        <w:tc>
          <w:tcPr>
            <w:tcW w:w="4632" w:type="dxa"/>
          </w:tcPr>
          <w:p w:rsidR="00A75874" w:rsidRDefault="00A75874" w:rsidP="00601025"/>
        </w:tc>
        <w:tc>
          <w:tcPr>
            <w:tcW w:w="460" w:type="dxa"/>
          </w:tcPr>
          <w:p w:rsidR="00A75874" w:rsidRDefault="00A75874" w:rsidP="00601025"/>
        </w:tc>
        <w:tc>
          <w:tcPr>
            <w:tcW w:w="4684" w:type="dxa"/>
          </w:tcPr>
          <w:p w:rsidR="00A75874" w:rsidRDefault="00A75874" w:rsidP="00601025"/>
        </w:tc>
      </w:tr>
      <w:tr w:rsidR="00D12C68" w:rsidRPr="00D12C68" w:rsidTr="00DF3337">
        <w:tc>
          <w:tcPr>
            <w:tcW w:w="4632" w:type="dxa"/>
          </w:tcPr>
          <w:p w:rsidR="00D12C68" w:rsidRPr="00D12C68" w:rsidRDefault="00D12C68" w:rsidP="00D12C68">
            <w:pPr>
              <w:rPr>
                <w:b/>
                <w:lang w:val="pt-BR"/>
              </w:rPr>
            </w:pPr>
            <w:r w:rsidRPr="00D12C68">
              <w:rPr>
                <w:b/>
                <w:lang w:val="pt-BR"/>
              </w:rPr>
              <w:t xml:space="preserve">Artigo </w:t>
            </w:r>
            <w:r w:rsidR="00C94018">
              <w:rPr>
                <w:b/>
                <w:lang w:val="pt-BR"/>
              </w:rPr>
              <w:t>5</w:t>
            </w:r>
            <w:r w:rsidRPr="00D12C68">
              <w:rPr>
                <w:b/>
                <w:lang w:val="pt-BR"/>
              </w:rPr>
              <w:t xml:space="preserve">. Programa de estudos </w:t>
            </w:r>
          </w:p>
          <w:p w:rsidR="00D12C68" w:rsidRPr="00FC26DB" w:rsidRDefault="00D12C68" w:rsidP="00D12C68">
            <w:pPr>
              <w:rPr>
                <w:lang w:val="pt-BR"/>
              </w:rPr>
            </w:pPr>
          </w:p>
          <w:p w:rsidR="00D12C68" w:rsidRPr="00D12C68" w:rsidRDefault="00D12C68" w:rsidP="00C94018">
            <w:pPr>
              <w:rPr>
                <w:lang w:val="pt-BR"/>
              </w:rPr>
            </w:pPr>
            <w:r w:rsidRPr="00D12C68">
              <w:rPr>
                <w:b/>
                <w:lang w:val="pt-BR"/>
              </w:rPr>
              <w:t xml:space="preserve">Artigo </w:t>
            </w:r>
            <w:r w:rsidR="00C94018">
              <w:rPr>
                <w:b/>
                <w:lang w:val="pt-BR"/>
              </w:rPr>
              <w:t>5</w:t>
            </w:r>
            <w:r w:rsidRPr="00D12C68">
              <w:rPr>
                <w:b/>
                <w:lang w:val="pt-BR"/>
              </w:rPr>
              <w:t>.1</w:t>
            </w:r>
            <w:r>
              <w:rPr>
                <w:lang w:val="pt-BR"/>
              </w:rPr>
              <w:t xml:space="preserve">: </w:t>
            </w:r>
            <w:r w:rsidRPr="0069273B">
              <w:rPr>
                <w:lang w:val="pt-BR"/>
              </w:rPr>
              <w:t xml:space="preserve">O programa de estudos para cada aluno participante selecionado deverá ser explicitado em um plano de estudos aprovado por ambas as Escolas e pelo aluno. Tal plano deverá </w:t>
            </w:r>
            <w:r w:rsidR="00E861D6">
              <w:rPr>
                <w:lang w:val="pt-BR"/>
              </w:rPr>
              <w:t>precisar,</w:t>
            </w:r>
            <w:r w:rsidRPr="0069273B">
              <w:rPr>
                <w:lang w:val="pt-BR"/>
              </w:rPr>
              <w:t xml:space="preserve"> </w:t>
            </w:r>
            <w:r>
              <w:rPr>
                <w:lang w:val="pt-BR"/>
              </w:rPr>
              <w:t>por semestre</w:t>
            </w:r>
            <w:r w:rsidR="00E861D6">
              <w:rPr>
                <w:lang w:val="pt-BR"/>
              </w:rPr>
              <w:t>,</w:t>
            </w:r>
            <w:r>
              <w:rPr>
                <w:lang w:val="pt-BR"/>
              </w:rPr>
              <w:t xml:space="preserve"> o número de créditos correspondentes </w:t>
            </w:r>
            <w:r w:rsidR="00E861D6">
              <w:rPr>
                <w:lang w:val="pt-BR"/>
              </w:rPr>
              <w:t xml:space="preserve">a </w:t>
            </w:r>
            <w:r w:rsidRPr="0069273B">
              <w:rPr>
                <w:lang w:val="pt-BR"/>
              </w:rPr>
              <w:t>todas as atividades acadêmicas (disciplinas, estágios, projetos, etc</w:t>
            </w:r>
            <w:r w:rsidR="00267D3D">
              <w:rPr>
                <w:lang w:val="pt-BR"/>
              </w:rPr>
              <w:t>.</w:t>
            </w:r>
            <w:r w:rsidRPr="0069273B">
              <w:rPr>
                <w:lang w:val="pt-BR"/>
              </w:rPr>
              <w:t>) a serem realizadas pelo aluno durante o período em que o estudante estiver n</w:t>
            </w:r>
            <w:r w:rsidR="00E861D6">
              <w:rPr>
                <w:lang w:val="pt-BR"/>
              </w:rPr>
              <w:t>o</w:t>
            </w:r>
            <w:r w:rsidRPr="0069273B">
              <w:rPr>
                <w:lang w:val="pt-BR"/>
              </w:rPr>
              <w:t xml:space="preserve"> </w:t>
            </w:r>
            <w:r>
              <w:rPr>
                <w:lang w:val="pt-BR"/>
              </w:rPr>
              <w:t>EA</w:t>
            </w:r>
            <w:r w:rsidRPr="0069273B">
              <w:rPr>
                <w:lang w:val="pt-BR"/>
              </w:rPr>
              <w:t xml:space="preserve"> e, após sua volta, n</w:t>
            </w:r>
            <w:r w:rsidR="00E861D6">
              <w:rPr>
                <w:lang w:val="pt-BR"/>
              </w:rPr>
              <w:t>o</w:t>
            </w:r>
            <w:r w:rsidRPr="0069273B">
              <w:rPr>
                <w:lang w:val="pt-BR"/>
              </w:rPr>
              <w:t xml:space="preserve"> </w:t>
            </w:r>
            <w:r>
              <w:rPr>
                <w:lang w:val="pt-BR"/>
              </w:rPr>
              <w:t>EO</w:t>
            </w:r>
            <w:r w:rsidRPr="0069273B">
              <w:rPr>
                <w:lang w:val="pt-BR"/>
              </w:rPr>
              <w:t xml:space="preserve">, a fim de habilitá-lo </w:t>
            </w:r>
            <w:r w:rsidR="00991FC9">
              <w:rPr>
                <w:lang w:val="pt-BR"/>
              </w:rPr>
              <w:t>à</w:t>
            </w:r>
            <w:r w:rsidRPr="0069273B">
              <w:rPr>
                <w:lang w:val="pt-BR"/>
              </w:rPr>
              <w:t xml:space="preserve"> recepção dos dois diplomas.</w:t>
            </w:r>
          </w:p>
        </w:tc>
        <w:tc>
          <w:tcPr>
            <w:tcW w:w="460" w:type="dxa"/>
          </w:tcPr>
          <w:p w:rsidR="00D12C68" w:rsidRPr="00FC26DB" w:rsidRDefault="00D12C68" w:rsidP="000E2344">
            <w:pPr>
              <w:rPr>
                <w:lang w:val="pt-BR"/>
              </w:rPr>
            </w:pPr>
          </w:p>
        </w:tc>
        <w:tc>
          <w:tcPr>
            <w:tcW w:w="4684" w:type="dxa"/>
          </w:tcPr>
          <w:p w:rsidR="00D12C68" w:rsidRPr="00D12C68" w:rsidRDefault="00D12C68" w:rsidP="00D12C68">
            <w:pPr>
              <w:rPr>
                <w:b/>
              </w:rPr>
            </w:pPr>
            <w:r w:rsidRPr="00D12C68">
              <w:rPr>
                <w:b/>
              </w:rPr>
              <w:t xml:space="preserve">Article </w:t>
            </w:r>
            <w:r w:rsidR="00C94018">
              <w:rPr>
                <w:b/>
              </w:rPr>
              <w:t>5</w:t>
            </w:r>
            <w:r w:rsidRPr="00D12C68">
              <w:rPr>
                <w:b/>
              </w:rPr>
              <w:t xml:space="preserve">. Programme des études </w:t>
            </w:r>
          </w:p>
          <w:p w:rsidR="00D12C68" w:rsidRPr="00FC26DB" w:rsidRDefault="00D12C68" w:rsidP="00D12C68"/>
          <w:p w:rsidR="00D12C68" w:rsidRPr="00FC26DB" w:rsidRDefault="00D12C68" w:rsidP="00D12C68">
            <w:r w:rsidRPr="00D12C68">
              <w:rPr>
                <w:b/>
              </w:rPr>
              <w:t xml:space="preserve">Article </w:t>
            </w:r>
            <w:r w:rsidR="00C94018">
              <w:rPr>
                <w:b/>
              </w:rPr>
              <w:t>5</w:t>
            </w:r>
            <w:r w:rsidRPr="00D12C68">
              <w:rPr>
                <w:b/>
              </w:rPr>
              <w:t>.1</w:t>
            </w:r>
            <w:r>
              <w:t xml:space="preserve">: </w:t>
            </w:r>
            <w:r w:rsidRPr="00EE2349">
              <w:t xml:space="preserve">Le programme d’études de chaque étudiant sélectionné devra être explicité dans un plan d’études approuvé par les deux écoles et par l’étudiant. Ce programme devra contenir </w:t>
            </w:r>
            <w:r>
              <w:t xml:space="preserve">par semestre et en précisant le nombre de crédits correspondants </w:t>
            </w:r>
            <w:r w:rsidRPr="00EE2349">
              <w:t xml:space="preserve">toutes les activités académiques (cours, stages en entreprise, projets, etc.) qui seront réalisés par l’étudiant pendant la période au cours de laquelle il sera dans </w:t>
            </w:r>
            <w:r>
              <w:t>l’EA</w:t>
            </w:r>
            <w:r w:rsidRPr="00EE2349">
              <w:t xml:space="preserve"> et, après son retour, dans </w:t>
            </w:r>
            <w:r>
              <w:t>l’EO</w:t>
            </w:r>
            <w:r w:rsidRPr="00EE2349">
              <w:t xml:space="preserve">, </w:t>
            </w:r>
            <w:r>
              <w:t>a</w:t>
            </w:r>
            <w:r w:rsidRPr="00EE2349">
              <w:t>fin de l’habiliter à recevoir les deux diplômes.</w:t>
            </w:r>
          </w:p>
          <w:p w:rsidR="00D12C68" w:rsidRPr="00D12C68" w:rsidRDefault="00D12C68" w:rsidP="00FC26DB"/>
        </w:tc>
      </w:tr>
      <w:tr w:rsidR="00966376" w:rsidRPr="00272258" w:rsidTr="00DF3337">
        <w:tc>
          <w:tcPr>
            <w:tcW w:w="4632" w:type="dxa"/>
          </w:tcPr>
          <w:p w:rsidR="00431A32" w:rsidRDefault="00966376" w:rsidP="00FC26DB">
            <w:pPr>
              <w:rPr>
                <w:lang w:val="pt-BR"/>
              </w:rPr>
            </w:pPr>
            <w:r w:rsidRPr="00431A32">
              <w:rPr>
                <w:b/>
                <w:lang w:val="pt-BR"/>
              </w:rPr>
              <w:t xml:space="preserve">Artigo </w:t>
            </w:r>
            <w:r w:rsidR="00C94018">
              <w:rPr>
                <w:b/>
                <w:lang w:val="pt-BR"/>
              </w:rPr>
              <w:t>5</w:t>
            </w:r>
            <w:r w:rsidRPr="00431A32">
              <w:rPr>
                <w:b/>
                <w:lang w:val="pt-BR"/>
              </w:rPr>
              <w:t>.2</w:t>
            </w:r>
            <w:r w:rsidR="00431A32">
              <w:rPr>
                <w:lang w:val="pt-BR"/>
              </w:rPr>
              <w:t xml:space="preserve">: </w:t>
            </w:r>
            <w:r w:rsidRPr="00FC26DB">
              <w:rPr>
                <w:lang w:val="pt-BR"/>
              </w:rPr>
              <w:t xml:space="preserve">Os estudantes da </w:t>
            </w:r>
            <w:r w:rsidR="00D612B2">
              <w:rPr>
                <w:lang w:val="pt-BR"/>
              </w:rPr>
              <w:t>EESC</w:t>
            </w:r>
            <w:r w:rsidRPr="00FC26DB">
              <w:rPr>
                <w:lang w:val="pt-BR"/>
              </w:rPr>
              <w:t xml:space="preserve"> serão integrados ao currículo padrão d</w:t>
            </w:r>
            <w:r w:rsidR="00E861D6">
              <w:rPr>
                <w:lang w:val="pt-BR"/>
              </w:rPr>
              <w:t>a</w:t>
            </w:r>
            <w:r w:rsidRPr="00FC26DB">
              <w:rPr>
                <w:lang w:val="pt-BR"/>
              </w:rPr>
              <w:t xml:space="preserve"> Telecom </w:t>
            </w:r>
            <w:r w:rsidR="000A2A07">
              <w:rPr>
                <w:lang w:val="pt-BR"/>
              </w:rPr>
              <w:t>Paris</w:t>
            </w:r>
            <w:r w:rsidRPr="00FC26DB">
              <w:rPr>
                <w:lang w:val="pt-BR"/>
              </w:rPr>
              <w:t>.</w:t>
            </w:r>
          </w:p>
          <w:p w:rsidR="00431A32" w:rsidRDefault="00431A32" w:rsidP="00FC26DB">
            <w:pPr>
              <w:rPr>
                <w:lang w:val="pt-BR"/>
              </w:rPr>
            </w:pPr>
          </w:p>
          <w:p w:rsidR="00966376" w:rsidRDefault="00431A32" w:rsidP="00FC26DB">
            <w:pPr>
              <w:rPr>
                <w:lang w:val="pt-BR"/>
              </w:rPr>
            </w:pPr>
            <w:r w:rsidRPr="00431A32">
              <w:rPr>
                <w:b/>
                <w:lang w:val="pt-BR"/>
              </w:rPr>
              <w:t xml:space="preserve">Artigo </w:t>
            </w:r>
            <w:r w:rsidR="00C94018">
              <w:rPr>
                <w:b/>
                <w:lang w:val="pt-BR"/>
              </w:rPr>
              <w:t>5</w:t>
            </w:r>
            <w:r w:rsidRPr="00431A32">
              <w:rPr>
                <w:b/>
                <w:lang w:val="pt-BR"/>
              </w:rPr>
              <w:t>.2</w:t>
            </w:r>
            <w:r>
              <w:rPr>
                <w:b/>
                <w:lang w:val="pt-BR"/>
              </w:rPr>
              <w:t>.1</w:t>
            </w:r>
            <w:r>
              <w:rPr>
                <w:lang w:val="pt-BR"/>
              </w:rPr>
              <w:t xml:space="preserve">: </w:t>
            </w:r>
            <w:r w:rsidR="00966376" w:rsidRPr="00FC26DB">
              <w:rPr>
                <w:lang w:val="pt-BR"/>
              </w:rPr>
              <w:t>Esse será composto de</w:t>
            </w:r>
            <w:r>
              <w:rPr>
                <w:lang w:val="pt-BR"/>
              </w:rPr>
              <w:t>,</w:t>
            </w:r>
            <w:r w:rsidR="00966376" w:rsidRPr="00FC26DB">
              <w:rPr>
                <w:lang w:val="pt-BR"/>
              </w:rPr>
              <w:t xml:space="preserve"> no mínimo, um estágio em laboratório de pesquisa ou em empresa </w:t>
            </w:r>
            <w:r w:rsidR="00966376" w:rsidRPr="00FC26DB">
              <w:rPr>
                <w:lang w:val="pt-BR"/>
              </w:rPr>
              <w:lastRenderedPageBreak/>
              <w:t>seguindo as disposições previstas pelo regulamento escolar d</w:t>
            </w:r>
            <w:r w:rsidR="00E861D6">
              <w:rPr>
                <w:lang w:val="pt-BR"/>
              </w:rPr>
              <w:t>a</w:t>
            </w:r>
            <w:r w:rsidR="00966376" w:rsidRPr="00FC26DB">
              <w:rPr>
                <w:lang w:val="pt-BR"/>
              </w:rPr>
              <w:t xml:space="preserve"> Telecom </w:t>
            </w:r>
            <w:r w:rsidR="000A2A07">
              <w:rPr>
                <w:lang w:val="pt-BR"/>
              </w:rPr>
              <w:t>Paris</w:t>
            </w:r>
            <w:r w:rsidR="00966376" w:rsidRPr="00FC26DB">
              <w:rPr>
                <w:lang w:val="pt-BR"/>
              </w:rPr>
              <w:t xml:space="preserve">. </w:t>
            </w:r>
          </w:p>
          <w:p w:rsidR="00431A32" w:rsidRPr="00FC26DB" w:rsidRDefault="00431A32" w:rsidP="00FC26DB">
            <w:pPr>
              <w:rPr>
                <w:lang w:val="pt-BR"/>
              </w:rPr>
            </w:pPr>
          </w:p>
          <w:p w:rsidR="00966376" w:rsidRPr="00FC26DB" w:rsidRDefault="00431A32" w:rsidP="00C94018">
            <w:pPr>
              <w:rPr>
                <w:b/>
                <w:sz w:val="22"/>
                <w:lang w:val="pt-BR"/>
              </w:rPr>
            </w:pPr>
            <w:r w:rsidRPr="00431A32">
              <w:rPr>
                <w:b/>
                <w:lang w:val="pt-BR"/>
              </w:rPr>
              <w:t xml:space="preserve">Artigo </w:t>
            </w:r>
            <w:r w:rsidR="00C94018">
              <w:rPr>
                <w:b/>
                <w:lang w:val="pt-BR"/>
              </w:rPr>
              <w:t>5</w:t>
            </w:r>
            <w:r w:rsidRPr="00431A32">
              <w:rPr>
                <w:b/>
                <w:lang w:val="pt-BR"/>
              </w:rPr>
              <w:t>.2</w:t>
            </w:r>
            <w:r>
              <w:rPr>
                <w:b/>
                <w:lang w:val="pt-BR"/>
              </w:rPr>
              <w:t>.2</w:t>
            </w:r>
            <w:r>
              <w:rPr>
                <w:lang w:val="pt-BR"/>
              </w:rPr>
              <w:t xml:space="preserve">: </w:t>
            </w:r>
            <w:r w:rsidR="00966376" w:rsidRPr="00FC26DB">
              <w:rPr>
                <w:lang w:val="pt-BR"/>
              </w:rPr>
              <w:t>O programa de estudos pode incluir também, um projeto de fim de estudos orientado como pesquisa.</w:t>
            </w:r>
          </w:p>
        </w:tc>
        <w:tc>
          <w:tcPr>
            <w:tcW w:w="460" w:type="dxa"/>
          </w:tcPr>
          <w:p w:rsidR="00966376" w:rsidRPr="00FC26DB" w:rsidRDefault="00966376" w:rsidP="000E2344">
            <w:pPr>
              <w:rPr>
                <w:lang w:val="pt-BR"/>
              </w:rPr>
            </w:pPr>
          </w:p>
        </w:tc>
        <w:tc>
          <w:tcPr>
            <w:tcW w:w="4684" w:type="dxa"/>
          </w:tcPr>
          <w:p w:rsidR="00966376" w:rsidRDefault="00966376" w:rsidP="00FC26DB">
            <w:r w:rsidRPr="00431A32">
              <w:rPr>
                <w:b/>
              </w:rPr>
              <w:t xml:space="preserve">Article </w:t>
            </w:r>
            <w:r w:rsidR="00C94018">
              <w:rPr>
                <w:b/>
              </w:rPr>
              <w:t>5</w:t>
            </w:r>
            <w:r w:rsidRPr="00431A32">
              <w:rPr>
                <w:b/>
              </w:rPr>
              <w:t>.2</w:t>
            </w:r>
            <w:r w:rsidR="00431A32">
              <w:t xml:space="preserve">: </w:t>
            </w:r>
            <w:r w:rsidRPr="00FC26DB">
              <w:t>Les étudiants de l’</w:t>
            </w:r>
            <w:r w:rsidR="00D612B2">
              <w:t>EESC</w:t>
            </w:r>
            <w:r w:rsidRPr="00FC26DB">
              <w:t xml:space="preserve"> seront intégrés dans le cursus standard de Telecom </w:t>
            </w:r>
            <w:r w:rsidR="000A2A07">
              <w:t>Paris</w:t>
            </w:r>
            <w:r w:rsidRPr="00FC26DB">
              <w:t>.</w:t>
            </w:r>
          </w:p>
          <w:p w:rsidR="00431A32" w:rsidRPr="00FC26DB" w:rsidRDefault="00431A32" w:rsidP="00FC26DB"/>
          <w:p w:rsidR="00966376" w:rsidRDefault="00431A32" w:rsidP="00FC26DB">
            <w:r w:rsidRPr="00431A32">
              <w:rPr>
                <w:b/>
              </w:rPr>
              <w:t xml:space="preserve">Article </w:t>
            </w:r>
            <w:r w:rsidR="00C94018">
              <w:rPr>
                <w:b/>
              </w:rPr>
              <w:t>5</w:t>
            </w:r>
            <w:r w:rsidRPr="00431A32">
              <w:rPr>
                <w:b/>
              </w:rPr>
              <w:t>.2</w:t>
            </w:r>
            <w:r>
              <w:rPr>
                <w:b/>
              </w:rPr>
              <w:t>.1</w:t>
            </w:r>
            <w:r>
              <w:t xml:space="preserve">: </w:t>
            </w:r>
            <w:r w:rsidR="00966376" w:rsidRPr="00FC26DB">
              <w:t xml:space="preserve">Celui-ci comprend au moins un stage en laboratoire de recherche ou en entreprise selon les </w:t>
            </w:r>
            <w:r w:rsidR="00966376" w:rsidRPr="00FC26DB">
              <w:lastRenderedPageBreak/>
              <w:t xml:space="preserve">dispositions prévues par le règlement scolaire de Telecom </w:t>
            </w:r>
            <w:r w:rsidR="000A2A07">
              <w:t>Paris</w:t>
            </w:r>
            <w:r w:rsidR="00966376" w:rsidRPr="00FC26DB">
              <w:t xml:space="preserve">. </w:t>
            </w:r>
          </w:p>
          <w:p w:rsidR="00431A32" w:rsidRPr="00FC26DB" w:rsidRDefault="00431A32" w:rsidP="00FC26DB"/>
          <w:p w:rsidR="00966376" w:rsidRPr="00272258" w:rsidRDefault="00431A32" w:rsidP="00C94018">
            <w:pPr>
              <w:rPr>
                <w:b/>
                <w:sz w:val="22"/>
              </w:rPr>
            </w:pPr>
            <w:r w:rsidRPr="00431A32">
              <w:rPr>
                <w:b/>
              </w:rPr>
              <w:t xml:space="preserve">Article </w:t>
            </w:r>
            <w:r w:rsidR="00C94018">
              <w:rPr>
                <w:b/>
              </w:rPr>
              <w:t>5</w:t>
            </w:r>
            <w:r w:rsidRPr="00431A32">
              <w:rPr>
                <w:b/>
              </w:rPr>
              <w:t>.2</w:t>
            </w:r>
            <w:r>
              <w:rPr>
                <w:b/>
              </w:rPr>
              <w:t>.2</w:t>
            </w:r>
            <w:r>
              <w:t xml:space="preserve">: </w:t>
            </w:r>
            <w:r w:rsidR="00966376" w:rsidRPr="00FC26DB">
              <w:t>Le programme d’études peut également inclure un projet de fin d’études orienté recherche.</w:t>
            </w:r>
          </w:p>
        </w:tc>
      </w:tr>
      <w:tr w:rsidR="00966376" w:rsidRPr="00272258" w:rsidTr="00DF3337">
        <w:tc>
          <w:tcPr>
            <w:tcW w:w="4632" w:type="dxa"/>
          </w:tcPr>
          <w:p w:rsidR="00966376" w:rsidRPr="00966376" w:rsidRDefault="00966376" w:rsidP="00FC26DB">
            <w:pPr>
              <w:rPr>
                <w:b/>
                <w:sz w:val="22"/>
              </w:rPr>
            </w:pPr>
          </w:p>
        </w:tc>
        <w:tc>
          <w:tcPr>
            <w:tcW w:w="460" w:type="dxa"/>
          </w:tcPr>
          <w:p w:rsidR="00966376" w:rsidRPr="00966376" w:rsidRDefault="00966376" w:rsidP="000E2344"/>
        </w:tc>
        <w:tc>
          <w:tcPr>
            <w:tcW w:w="4684" w:type="dxa"/>
          </w:tcPr>
          <w:p w:rsidR="00966376" w:rsidRPr="00FC26DB" w:rsidRDefault="00966376" w:rsidP="00FC26DB">
            <w:pPr>
              <w:rPr>
                <w:b/>
                <w:sz w:val="22"/>
              </w:rPr>
            </w:pPr>
          </w:p>
        </w:tc>
      </w:tr>
      <w:tr w:rsidR="00431A32" w:rsidRPr="00431A32" w:rsidTr="00DF3337">
        <w:tc>
          <w:tcPr>
            <w:tcW w:w="4632" w:type="dxa"/>
          </w:tcPr>
          <w:p w:rsidR="00431A32" w:rsidRPr="00431A32" w:rsidRDefault="00431A32" w:rsidP="00431A32">
            <w:pPr>
              <w:jc w:val="center"/>
              <w:rPr>
                <w:b/>
                <w:caps/>
                <w:sz w:val="22"/>
                <w:lang w:val="pt-BR"/>
              </w:rPr>
            </w:pPr>
            <w:r w:rsidRPr="00431A32">
              <w:rPr>
                <w:b/>
                <w:caps/>
                <w:sz w:val="22"/>
                <w:lang w:val="pt-BR"/>
              </w:rPr>
              <w:t>Intercâmbio da França para o Brasil</w:t>
            </w:r>
          </w:p>
          <w:p w:rsidR="00431A32" w:rsidRPr="00394B3D" w:rsidRDefault="00431A32" w:rsidP="00431A32">
            <w:pPr>
              <w:rPr>
                <w:lang w:val="pt-BR"/>
              </w:rPr>
            </w:pPr>
          </w:p>
          <w:p w:rsidR="00431A32" w:rsidRPr="00431A32" w:rsidRDefault="00431A32" w:rsidP="00431A32">
            <w:pPr>
              <w:rPr>
                <w:b/>
                <w:lang w:val="pt-BR"/>
              </w:rPr>
            </w:pPr>
            <w:r w:rsidRPr="00431A32">
              <w:rPr>
                <w:b/>
                <w:lang w:val="pt-BR"/>
              </w:rPr>
              <w:t xml:space="preserve">Artigo </w:t>
            </w:r>
            <w:r w:rsidR="00C94018">
              <w:rPr>
                <w:b/>
                <w:lang w:val="pt-BR"/>
              </w:rPr>
              <w:t>6</w:t>
            </w:r>
            <w:r w:rsidRPr="00431A32">
              <w:rPr>
                <w:b/>
                <w:lang w:val="pt-BR"/>
              </w:rPr>
              <w:t>. Processo de admissão dos estudantes d</w:t>
            </w:r>
            <w:r w:rsidR="00E861D6">
              <w:rPr>
                <w:b/>
                <w:lang w:val="pt-BR"/>
              </w:rPr>
              <w:t>a</w:t>
            </w:r>
            <w:r w:rsidRPr="00431A32">
              <w:rPr>
                <w:b/>
                <w:lang w:val="pt-BR"/>
              </w:rPr>
              <w:t xml:space="preserve"> Telecom </w:t>
            </w:r>
            <w:r w:rsidR="000A2A07">
              <w:rPr>
                <w:b/>
                <w:lang w:val="pt-BR"/>
              </w:rPr>
              <w:t>Paris</w:t>
            </w:r>
          </w:p>
          <w:p w:rsidR="00431A32" w:rsidRPr="00394B3D" w:rsidRDefault="00431A32" w:rsidP="00431A32">
            <w:pPr>
              <w:rPr>
                <w:lang w:val="pt-BR"/>
              </w:rPr>
            </w:pPr>
          </w:p>
          <w:p w:rsidR="00431A32" w:rsidRPr="00814CAB" w:rsidRDefault="00431A32" w:rsidP="00431A32">
            <w:pPr>
              <w:rPr>
                <w:color w:val="FF0000"/>
                <w:lang w:val="pt-BR"/>
              </w:rPr>
            </w:pPr>
            <w:r w:rsidRPr="00431A32">
              <w:rPr>
                <w:b/>
                <w:lang w:val="pt-BR"/>
              </w:rPr>
              <w:t xml:space="preserve">Artigo </w:t>
            </w:r>
            <w:r w:rsidR="00C94018">
              <w:rPr>
                <w:b/>
                <w:lang w:val="pt-BR"/>
              </w:rPr>
              <w:t>6</w:t>
            </w:r>
            <w:r w:rsidRPr="00431A32">
              <w:rPr>
                <w:b/>
                <w:lang w:val="pt-BR"/>
              </w:rPr>
              <w:t>.1</w:t>
            </w:r>
            <w:r>
              <w:rPr>
                <w:lang w:val="pt-BR"/>
              </w:rPr>
              <w:t>:</w:t>
            </w:r>
            <w:r w:rsidRPr="00394B3D">
              <w:rPr>
                <w:lang w:val="pt-BR"/>
              </w:rPr>
              <w:t xml:space="preserve"> O estudante da Telecom </w:t>
            </w:r>
            <w:r w:rsidR="000A2A07">
              <w:rPr>
                <w:lang w:val="pt-BR"/>
              </w:rPr>
              <w:t>Paris</w:t>
            </w:r>
            <w:r w:rsidRPr="00394B3D">
              <w:rPr>
                <w:lang w:val="pt-BR"/>
              </w:rPr>
              <w:t xml:space="preserve"> deverá ter cumprido com sucesso </w:t>
            </w:r>
            <w:r>
              <w:rPr>
                <w:lang w:val="pt-BR"/>
              </w:rPr>
              <w:t xml:space="preserve">pelo menos </w:t>
            </w:r>
            <w:r w:rsidRPr="00394B3D">
              <w:rPr>
                <w:lang w:val="pt-BR"/>
              </w:rPr>
              <w:t xml:space="preserve">o primeiro </w:t>
            </w:r>
            <w:r>
              <w:rPr>
                <w:lang w:val="pt-BR"/>
              </w:rPr>
              <w:t xml:space="preserve">ano </w:t>
            </w:r>
            <w:r w:rsidRPr="00394B3D">
              <w:rPr>
                <w:lang w:val="pt-BR"/>
              </w:rPr>
              <w:t xml:space="preserve">e o </w:t>
            </w:r>
            <w:r>
              <w:rPr>
                <w:lang w:val="pt-BR"/>
              </w:rPr>
              <w:t xml:space="preserve">primeiro semestre do </w:t>
            </w:r>
            <w:r w:rsidRPr="00394B3D">
              <w:rPr>
                <w:lang w:val="pt-BR"/>
              </w:rPr>
              <w:t xml:space="preserve">segundo ano de estudos do curso para a obtenção do diploma de engenheiro deste estabelecimento, antes do início dos estudos na </w:t>
            </w:r>
            <w:r w:rsidR="00D612B2">
              <w:rPr>
                <w:lang w:val="pt-BR"/>
              </w:rPr>
              <w:t>EESC</w:t>
            </w:r>
            <w:r w:rsidRPr="00394B3D">
              <w:rPr>
                <w:lang w:val="pt-BR"/>
              </w:rPr>
              <w:t>.</w:t>
            </w:r>
            <w:r w:rsidR="00814CAB">
              <w:rPr>
                <w:lang w:val="pt-BR"/>
              </w:rPr>
              <w:t xml:space="preserve"> </w:t>
            </w:r>
          </w:p>
          <w:p w:rsidR="00431A32" w:rsidRPr="00431A32" w:rsidRDefault="00431A32" w:rsidP="00431A32">
            <w:pPr>
              <w:jc w:val="center"/>
              <w:rPr>
                <w:b/>
                <w:caps/>
                <w:sz w:val="22"/>
                <w:lang w:val="pt-BR"/>
              </w:rPr>
            </w:pPr>
          </w:p>
        </w:tc>
        <w:tc>
          <w:tcPr>
            <w:tcW w:w="460" w:type="dxa"/>
          </w:tcPr>
          <w:p w:rsidR="00431A32" w:rsidRPr="00FC26DB" w:rsidRDefault="00431A32" w:rsidP="000E2344">
            <w:pPr>
              <w:rPr>
                <w:lang w:val="pt-BR"/>
              </w:rPr>
            </w:pPr>
          </w:p>
        </w:tc>
        <w:tc>
          <w:tcPr>
            <w:tcW w:w="4684" w:type="dxa"/>
          </w:tcPr>
          <w:p w:rsidR="00431A32" w:rsidRPr="00431A32" w:rsidRDefault="00431A32" w:rsidP="00431A32">
            <w:pPr>
              <w:jc w:val="center"/>
              <w:rPr>
                <w:b/>
                <w:caps/>
                <w:sz w:val="22"/>
              </w:rPr>
            </w:pPr>
            <w:r w:rsidRPr="00431A32">
              <w:rPr>
                <w:b/>
                <w:caps/>
                <w:sz w:val="22"/>
              </w:rPr>
              <w:t>Échanges de la France vers le Brésil</w:t>
            </w:r>
          </w:p>
          <w:p w:rsidR="00431A32" w:rsidRPr="00394B3D" w:rsidRDefault="00431A32" w:rsidP="00431A32">
            <w:pPr>
              <w:rPr>
                <w:b/>
                <w:sz w:val="22"/>
              </w:rPr>
            </w:pPr>
          </w:p>
          <w:p w:rsidR="00431A32" w:rsidRPr="00431A32" w:rsidRDefault="00431A32" w:rsidP="00431A32">
            <w:pPr>
              <w:rPr>
                <w:b/>
              </w:rPr>
            </w:pPr>
            <w:r w:rsidRPr="00431A32">
              <w:rPr>
                <w:b/>
              </w:rPr>
              <w:t xml:space="preserve">Article </w:t>
            </w:r>
            <w:r w:rsidR="00C94018">
              <w:rPr>
                <w:b/>
              </w:rPr>
              <w:t>6</w:t>
            </w:r>
            <w:r w:rsidRPr="00431A32">
              <w:rPr>
                <w:b/>
              </w:rPr>
              <w:t xml:space="preserve">. Processus d’admission des étudiants de Telecom </w:t>
            </w:r>
            <w:r w:rsidR="000A2A07">
              <w:rPr>
                <w:b/>
              </w:rPr>
              <w:t>Paris</w:t>
            </w:r>
          </w:p>
          <w:p w:rsidR="00431A32" w:rsidRPr="00394B3D" w:rsidRDefault="00431A32" w:rsidP="00431A32"/>
          <w:p w:rsidR="00431A32" w:rsidRPr="00394B3D" w:rsidRDefault="00431A32" w:rsidP="00431A32">
            <w:r w:rsidRPr="00431A32">
              <w:rPr>
                <w:b/>
              </w:rPr>
              <w:t xml:space="preserve">Article </w:t>
            </w:r>
            <w:r w:rsidR="00C94018">
              <w:rPr>
                <w:b/>
              </w:rPr>
              <w:t>6</w:t>
            </w:r>
            <w:r w:rsidRPr="00431A32">
              <w:rPr>
                <w:b/>
              </w:rPr>
              <w:t>.1</w:t>
            </w:r>
            <w:r>
              <w:t>:</w:t>
            </w:r>
            <w:r w:rsidRPr="00394B3D">
              <w:t xml:space="preserve"> L’étudiant de Telecom </w:t>
            </w:r>
            <w:r w:rsidR="000A2A07">
              <w:t>Paris</w:t>
            </w:r>
            <w:r w:rsidRPr="00394B3D">
              <w:t xml:space="preserve"> d</w:t>
            </w:r>
            <w:r>
              <w:t>evra</w:t>
            </w:r>
            <w:r w:rsidRPr="00394B3D">
              <w:t xml:space="preserve"> avoir réalisé avec succès </w:t>
            </w:r>
            <w:r>
              <w:t xml:space="preserve">au moins la première année et le premier semestre de la seconde année </w:t>
            </w:r>
            <w:r w:rsidRPr="00394B3D">
              <w:t xml:space="preserve">comptant pour le diplôme d’ingénieur de </w:t>
            </w:r>
            <w:r>
              <w:t>l’école avant sa rentrée à l’</w:t>
            </w:r>
            <w:r w:rsidR="00D612B2">
              <w:t>EESC</w:t>
            </w:r>
            <w:r w:rsidRPr="00394B3D">
              <w:t>.</w:t>
            </w:r>
          </w:p>
          <w:p w:rsidR="00431A32" w:rsidRPr="00431A32" w:rsidRDefault="00431A32" w:rsidP="00431A32">
            <w:pPr>
              <w:jc w:val="center"/>
              <w:rPr>
                <w:b/>
                <w:caps/>
                <w:sz w:val="22"/>
              </w:rPr>
            </w:pPr>
          </w:p>
        </w:tc>
      </w:tr>
      <w:tr w:rsidR="00431A32" w:rsidRPr="00431A32" w:rsidTr="00DF3337">
        <w:tc>
          <w:tcPr>
            <w:tcW w:w="4632" w:type="dxa"/>
          </w:tcPr>
          <w:p w:rsidR="00431A32" w:rsidRPr="00394B3D" w:rsidRDefault="00431A32" w:rsidP="00431A32">
            <w:pPr>
              <w:rPr>
                <w:lang w:val="pt-BR"/>
              </w:rPr>
            </w:pPr>
            <w:r w:rsidRPr="00431A32">
              <w:rPr>
                <w:b/>
                <w:lang w:val="pt-BR"/>
              </w:rPr>
              <w:t xml:space="preserve">Artigo </w:t>
            </w:r>
            <w:r w:rsidR="00C94018">
              <w:rPr>
                <w:b/>
                <w:lang w:val="pt-BR"/>
              </w:rPr>
              <w:t>6</w:t>
            </w:r>
            <w:r w:rsidRPr="00431A32">
              <w:rPr>
                <w:b/>
                <w:lang w:val="pt-BR"/>
              </w:rPr>
              <w:t>.2</w:t>
            </w:r>
            <w:r>
              <w:rPr>
                <w:lang w:val="pt-BR"/>
              </w:rPr>
              <w:t xml:space="preserve">: </w:t>
            </w:r>
            <w:r w:rsidRPr="00394B3D">
              <w:rPr>
                <w:lang w:val="pt-BR"/>
              </w:rPr>
              <w:t>O Processo de admissão dos estudantes d</w:t>
            </w:r>
            <w:r w:rsidR="00E861D6">
              <w:rPr>
                <w:lang w:val="pt-BR"/>
              </w:rPr>
              <w:t>a</w:t>
            </w:r>
            <w:r w:rsidRPr="00394B3D">
              <w:rPr>
                <w:lang w:val="pt-BR"/>
              </w:rPr>
              <w:t xml:space="preserve"> Telecom </w:t>
            </w:r>
            <w:r w:rsidR="000A2A07">
              <w:rPr>
                <w:lang w:val="pt-BR"/>
              </w:rPr>
              <w:t>Paris</w:t>
            </w:r>
            <w:r w:rsidRPr="00394B3D">
              <w:rPr>
                <w:lang w:val="pt-BR"/>
              </w:rPr>
              <w:t xml:space="preserve"> incluirá:</w:t>
            </w:r>
          </w:p>
          <w:p w:rsidR="00C94018" w:rsidRDefault="00431A32" w:rsidP="00C94018">
            <w:pPr>
              <w:pStyle w:val="PargrafodaLista"/>
              <w:numPr>
                <w:ilvl w:val="0"/>
                <w:numId w:val="7"/>
              </w:numPr>
              <w:rPr>
                <w:lang w:val="pt-BR"/>
              </w:rPr>
            </w:pPr>
            <w:r w:rsidRPr="00C94018">
              <w:rPr>
                <w:lang w:val="pt-BR"/>
              </w:rPr>
              <w:t xml:space="preserve">Uma pré-seleção das candidaturas efetuada por Telecom </w:t>
            </w:r>
            <w:r w:rsidR="000A2A07" w:rsidRPr="00C94018">
              <w:rPr>
                <w:lang w:val="pt-BR"/>
              </w:rPr>
              <w:t>Paris</w:t>
            </w:r>
          </w:p>
          <w:p w:rsidR="00C94018" w:rsidRDefault="00431A32" w:rsidP="00431A32">
            <w:pPr>
              <w:pStyle w:val="PargrafodaLista"/>
              <w:numPr>
                <w:ilvl w:val="0"/>
                <w:numId w:val="7"/>
              </w:numPr>
              <w:rPr>
                <w:lang w:val="pt-BR"/>
              </w:rPr>
            </w:pPr>
            <w:r w:rsidRPr="00C94018">
              <w:rPr>
                <w:lang w:val="pt-BR"/>
              </w:rPr>
              <w:t xml:space="preserve">Um ato de candidatura pessoal para </w:t>
            </w:r>
            <w:r w:rsidR="00D612B2" w:rsidRPr="00C94018">
              <w:rPr>
                <w:lang w:val="pt-BR"/>
              </w:rPr>
              <w:t>EESC</w:t>
            </w:r>
            <w:r w:rsidRPr="00C94018">
              <w:rPr>
                <w:lang w:val="pt-BR"/>
              </w:rPr>
              <w:t xml:space="preserve"> através da </w:t>
            </w:r>
            <w:r w:rsidR="00C94018" w:rsidRPr="00C94018">
              <w:rPr>
                <w:lang w:val="pt-BR"/>
              </w:rPr>
              <w:t>Comissão de Cooperação Internacional (CCInt)</w:t>
            </w:r>
            <w:r w:rsidRPr="00C94018">
              <w:rPr>
                <w:lang w:val="pt-BR"/>
              </w:rPr>
              <w:t>;</w:t>
            </w:r>
          </w:p>
          <w:p w:rsidR="00431A32" w:rsidRPr="00C94018" w:rsidRDefault="00431A32" w:rsidP="00431A32">
            <w:pPr>
              <w:pStyle w:val="PargrafodaLista"/>
              <w:numPr>
                <w:ilvl w:val="0"/>
                <w:numId w:val="7"/>
              </w:numPr>
              <w:rPr>
                <w:lang w:val="pt-BR"/>
              </w:rPr>
            </w:pPr>
            <w:r w:rsidRPr="00C94018">
              <w:rPr>
                <w:lang w:val="pt-BR"/>
              </w:rPr>
              <w:t>Uma análise documental das candidaturas pela C</w:t>
            </w:r>
            <w:r w:rsidR="00C94018">
              <w:rPr>
                <w:lang w:val="pt-BR"/>
              </w:rPr>
              <w:t>CInt</w:t>
            </w:r>
            <w:r w:rsidRPr="00C94018">
              <w:rPr>
                <w:lang w:val="pt-BR"/>
              </w:rPr>
              <w:t>;</w:t>
            </w:r>
          </w:p>
          <w:p w:rsidR="00431A32" w:rsidRPr="00431A32" w:rsidRDefault="00431A32" w:rsidP="00431A32">
            <w:pPr>
              <w:pStyle w:val="PargrafodaLista"/>
              <w:numPr>
                <w:ilvl w:val="0"/>
                <w:numId w:val="7"/>
              </w:numPr>
              <w:rPr>
                <w:lang w:val="pt-BR"/>
              </w:rPr>
            </w:pPr>
            <w:r w:rsidRPr="00431A32">
              <w:rPr>
                <w:lang w:val="pt-BR"/>
              </w:rPr>
              <w:t>Uma entrevista oral de motivação e orientação;</w:t>
            </w:r>
          </w:p>
          <w:p w:rsidR="00431A32" w:rsidRPr="00431A32" w:rsidRDefault="00431A32" w:rsidP="00431A32">
            <w:pPr>
              <w:pStyle w:val="PargrafodaLista"/>
              <w:numPr>
                <w:ilvl w:val="0"/>
                <w:numId w:val="7"/>
              </w:numPr>
              <w:rPr>
                <w:lang w:val="pt-BR"/>
              </w:rPr>
            </w:pPr>
            <w:r w:rsidRPr="00431A32">
              <w:rPr>
                <w:lang w:val="pt-BR"/>
              </w:rPr>
              <w:t>A admissão por um júri espec</w:t>
            </w:r>
            <w:r w:rsidR="00B65F36">
              <w:rPr>
                <w:lang w:val="pt-BR"/>
              </w:rPr>
              <w:t>í</w:t>
            </w:r>
            <w:r w:rsidRPr="00431A32">
              <w:rPr>
                <w:lang w:val="pt-BR"/>
              </w:rPr>
              <w:t xml:space="preserve">fico da </w:t>
            </w:r>
            <w:r w:rsidR="00D612B2">
              <w:rPr>
                <w:lang w:val="pt-BR"/>
              </w:rPr>
              <w:t>EESC</w:t>
            </w:r>
            <w:r w:rsidRPr="00431A32">
              <w:rPr>
                <w:lang w:val="pt-BR"/>
              </w:rPr>
              <w:t>;</w:t>
            </w:r>
          </w:p>
          <w:p w:rsidR="00431A32" w:rsidRPr="00431A32" w:rsidRDefault="00431A32" w:rsidP="00431A32">
            <w:pPr>
              <w:pStyle w:val="PargrafodaLista"/>
              <w:numPr>
                <w:ilvl w:val="0"/>
                <w:numId w:val="7"/>
              </w:numPr>
              <w:rPr>
                <w:lang w:val="pt-BR"/>
              </w:rPr>
            </w:pPr>
            <w:r w:rsidRPr="00431A32">
              <w:rPr>
                <w:lang w:val="pt-BR"/>
              </w:rPr>
              <w:t>A aceitação do estudante.</w:t>
            </w:r>
          </w:p>
          <w:p w:rsidR="00431A32" w:rsidRPr="00431A32" w:rsidRDefault="00431A32" w:rsidP="00394B3D">
            <w:pPr>
              <w:rPr>
                <w:lang w:val="pt-BR"/>
              </w:rPr>
            </w:pPr>
          </w:p>
        </w:tc>
        <w:tc>
          <w:tcPr>
            <w:tcW w:w="460" w:type="dxa"/>
          </w:tcPr>
          <w:p w:rsidR="00431A32" w:rsidRPr="00FC26DB" w:rsidRDefault="00431A32" w:rsidP="000E2344">
            <w:pPr>
              <w:rPr>
                <w:lang w:val="pt-BR"/>
              </w:rPr>
            </w:pPr>
          </w:p>
        </w:tc>
        <w:tc>
          <w:tcPr>
            <w:tcW w:w="4684" w:type="dxa"/>
          </w:tcPr>
          <w:p w:rsidR="00431A32" w:rsidRPr="00394B3D" w:rsidRDefault="00431A32" w:rsidP="00431A32">
            <w:r w:rsidRPr="00431A32">
              <w:rPr>
                <w:b/>
              </w:rPr>
              <w:t xml:space="preserve">Article </w:t>
            </w:r>
            <w:r w:rsidR="00C94018">
              <w:rPr>
                <w:b/>
              </w:rPr>
              <w:t>6</w:t>
            </w:r>
            <w:r w:rsidRPr="00431A32">
              <w:rPr>
                <w:b/>
              </w:rPr>
              <w:t>.2</w:t>
            </w:r>
            <w:r>
              <w:t xml:space="preserve">: </w:t>
            </w:r>
            <w:r w:rsidRPr="00394B3D">
              <w:t xml:space="preserve">Le processus d’admission des étudiants de Telecom </w:t>
            </w:r>
            <w:r w:rsidR="000A2A07">
              <w:t>Paris</w:t>
            </w:r>
            <w:r w:rsidRPr="00394B3D">
              <w:t xml:space="preserve"> comprend :</w:t>
            </w:r>
          </w:p>
          <w:p w:rsidR="00431A32" w:rsidRPr="00394B3D" w:rsidRDefault="00431A32" w:rsidP="00431A32">
            <w:pPr>
              <w:pStyle w:val="PargrafodaLista"/>
              <w:numPr>
                <w:ilvl w:val="0"/>
                <w:numId w:val="8"/>
              </w:numPr>
              <w:ind w:left="375"/>
            </w:pPr>
            <w:r w:rsidRPr="00394B3D">
              <w:t xml:space="preserve">une présélection des candidatures effectuée par Telecom </w:t>
            </w:r>
            <w:r w:rsidR="000A2A07">
              <w:t>Paris</w:t>
            </w:r>
            <w:r w:rsidRPr="00394B3D">
              <w:t xml:space="preserve"> ;</w:t>
            </w:r>
          </w:p>
          <w:p w:rsidR="00431A32" w:rsidRPr="00394B3D" w:rsidRDefault="00431A32" w:rsidP="00431A32">
            <w:pPr>
              <w:pStyle w:val="PargrafodaLista"/>
              <w:numPr>
                <w:ilvl w:val="0"/>
                <w:numId w:val="8"/>
              </w:numPr>
              <w:ind w:left="375"/>
            </w:pPr>
            <w:r w:rsidRPr="00394B3D">
              <w:t>un acte de candidature personnel auprès de l’</w:t>
            </w:r>
            <w:r w:rsidR="00D612B2">
              <w:t>EESC</w:t>
            </w:r>
            <w:r w:rsidRPr="00394B3D">
              <w:t xml:space="preserve"> via la Co</w:t>
            </w:r>
            <w:r w:rsidR="00C94018">
              <w:t>mmiss</w:t>
            </w:r>
            <w:r w:rsidRPr="00394B3D">
              <w:t>ion de</w:t>
            </w:r>
            <w:r w:rsidR="00C94018">
              <w:t xml:space="preserve"> Coopération Internationale</w:t>
            </w:r>
            <w:r w:rsidRPr="00394B3D">
              <w:t xml:space="preserve"> (C</w:t>
            </w:r>
            <w:r w:rsidR="00C94018">
              <w:t>CInt</w:t>
            </w:r>
            <w:r w:rsidRPr="00394B3D">
              <w:t>) ;</w:t>
            </w:r>
          </w:p>
          <w:p w:rsidR="00431A32" w:rsidRPr="00394B3D" w:rsidRDefault="00431A32" w:rsidP="00431A32">
            <w:pPr>
              <w:pStyle w:val="PargrafodaLista"/>
              <w:numPr>
                <w:ilvl w:val="0"/>
                <w:numId w:val="8"/>
              </w:numPr>
              <w:ind w:left="375"/>
            </w:pPr>
            <w:r w:rsidRPr="00394B3D">
              <w:t>une analyse des documents de candidature par la C</w:t>
            </w:r>
            <w:r w:rsidR="00C94018">
              <w:t>CInt</w:t>
            </w:r>
            <w:r w:rsidRPr="00394B3D">
              <w:t xml:space="preserve"> ;</w:t>
            </w:r>
          </w:p>
          <w:p w:rsidR="00431A32" w:rsidRPr="00394B3D" w:rsidRDefault="00431A32" w:rsidP="00431A32">
            <w:pPr>
              <w:pStyle w:val="PargrafodaLista"/>
              <w:numPr>
                <w:ilvl w:val="0"/>
                <w:numId w:val="8"/>
              </w:numPr>
              <w:ind w:left="375"/>
            </w:pPr>
            <w:r w:rsidRPr="00394B3D">
              <w:t>un entretien oral de motivation et orientation ;</w:t>
            </w:r>
          </w:p>
          <w:p w:rsidR="00431A32" w:rsidRPr="00394B3D" w:rsidRDefault="00431A32" w:rsidP="00431A32">
            <w:pPr>
              <w:pStyle w:val="PargrafodaLista"/>
              <w:numPr>
                <w:ilvl w:val="0"/>
                <w:numId w:val="8"/>
              </w:numPr>
              <w:ind w:left="375"/>
            </w:pPr>
            <w:r w:rsidRPr="00394B3D">
              <w:t>une décision d’admission par un jury propre à l’</w:t>
            </w:r>
            <w:r w:rsidR="00D612B2">
              <w:t>EESC</w:t>
            </w:r>
            <w:r>
              <w:t xml:space="preserve"> ; </w:t>
            </w:r>
          </w:p>
          <w:p w:rsidR="00431A32" w:rsidRPr="00394B3D" w:rsidRDefault="00431A32" w:rsidP="00431A32">
            <w:pPr>
              <w:pStyle w:val="PargrafodaLista"/>
              <w:numPr>
                <w:ilvl w:val="0"/>
                <w:numId w:val="8"/>
              </w:numPr>
              <w:ind w:left="375"/>
            </w:pPr>
            <w:r w:rsidRPr="00394B3D">
              <w:t xml:space="preserve">l’acceptation de l’admission par l’étudiant. </w:t>
            </w:r>
          </w:p>
          <w:p w:rsidR="00431A32" w:rsidRPr="00431A32" w:rsidRDefault="00431A32" w:rsidP="00394B3D"/>
        </w:tc>
      </w:tr>
      <w:tr w:rsidR="00431A32" w:rsidRPr="00431A32" w:rsidTr="00DF3337">
        <w:tc>
          <w:tcPr>
            <w:tcW w:w="4632" w:type="dxa"/>
          </w:tcPr>
          <w:p w:rsidR="00431A32" w:rsidRPr="00394B3D" w:rsidRDefault="00431A32" w:rsidP="00431A32">
            <w:pPr>
              <w:rPr>
                <w:lang w:val="pt-BR"/>
              </w:rPr>
            </w:pPr>
            <w:r w:rsidRPr="00431A32">
              <w:rPr>
                <w:b/>
                <w:lang w:val="pt-BR"/>
              </w:rPr>
              <w:t xml:space="preserve">Artigo </w:t>
            </w:r>
            <w:r w:rsidR="00C94018">
              <w:rPr>
                <w:b/>
                <w:lang w:val="pt-BR"/>
              </w:rPr>
              <w:t>6</w:t>
            </w:r>
            <w:r w:rsidRPr="00431A32">
              <w:rPr>
                <w:b/>
                <w:lang w:val="pt-BR"/>
              </w:rPr>
              <w:t>.3</w:t>
            </w:r>
            <w:r>
              <w:rPr>
                <w:lang w:val="pt-BR"/>
              </w:rPr>
              <w:t xml:space="preserve">: </w:t>
            </w:r>
            <w:r w:rsidRPr="00394B3D">
              <w:rPr>
                <w:lang w:val="pt-BR"/>
              </w:rPr>
              <w:t xml:space="preserve">O número </w:t>
            </w:r>
            <w:r w:rsidR="00E861D6" w:rsidRPr="00394B3D">
              <w:rPr>
                <w:lang w:val="pt-BR"/>
              </w:rPr>
              <w:t>máximo</w:t>
            </w:r>
            <w:r w:rsidRPr="00394B3D">
              <w:rPr>
                <w:lang w:val="pt-BR"/>
              </w:rPr>
              <w:t xml:space="preserve"> de estudantes pré-selecionados pela Telecom </w:t>
            </w:r>
            <w:r w:rsidR="000A2A07">
              <w:rPr>
                <w:lang w:val="pt-BR"/>
              </w:rPr>
              <w:t>Paris</w:t>
            </w:r>
            <w:r w:rsidRPr="00394B3D">
              <w:rPr>
                <w:lang w:val="pt-BR"/>
              </w:rPr>
              <w:t xml:space="preserve"> e propostos a </w:t>
            </w:r>
            <w:r w:rsidR="00D612B2">
              <w:rPr>
                <w:lang w:val="pt-BR"/>
              </w:rPr>
              <w:t>EESC</w:t>
            </w:r>
            <w:r w:rsidRPr="00394B3D">
              <w:rPr>
                <w:lang w:val="pt-BR"/>
              </w:rPr>
              <w:t xml:space="preserve"> será determinado cada ano de comum acordo e com antecedência </w:t>
            </w:r>
            <w:r w:rsidR="00E861D6" w:rsidRPr="00394B3D">
              <w:rPr>
                <w:lang w:val="pt-BR"/>
              </w:rPr>
              <w:t>mínima</w:t>
            </w:r>
            <w:r w:rsidRPr="00394B3D">
              <w:rPr>
                <w:lang w:val="pt-BR"/>
              </w:rPr>
              <w:t xml:space="preserve"> estipulada pelo edital.</w:t>
            </w:r>
          </w:p>
          <w:p w:rsidR="00431A32" w:rsidRPr="00431A32" w:rsidRDefault="00431A32" w:rsidP="00394B3D">
            <w:pPr>
              <w:rPr>
                <w:lang w:val="pt-BR"/>
              </w:rPr>
            </w:pPr>
          </w:p>
        </w:tc>
        <w:tc>
          <w:tcPr>
            <w:tcW w:w="460" w:type="dxa"/>
          </w:tcPr>
          <w:p w:rsidR="00431A32" w:rsidRPr="00431A32" w:rsidRDefault="00431A32" w:rsidP="000E2344">
            <w:pPr>
              <w:rPr>
                <w:lang w:val="pt-BR"/>
              </w:rPr>
            </w:pPr>
          </w:p>
        </w:tc>
        <w:tc>
          <w:tcPr>
            <w:tcW w:w="4684" w:type="dxa"/>
          </w:tcPr>
          <w:p w:rsidR="00431A32" w:rsidRPr="00431A32" w:rsidRDefault="00431A32" w:rsidP="00394B3D">
            <w:r w:rsidRPr="0022352C">
              <w:rPr>
                <w:b/>
              </w:rPr>
              <w:t xml:space="preserve">Article </w:t>
            </w:r>
            <w:r w:rsidR="00C94018">
              <w:rPr>
                <w:b/>
              </w:rPr>
              <w:t>6</w:t>
            </w:r>
            <w:r w:rsidRPr="0022352C">
              <w:rPr>
                <w:b/>
              </w:rPr>
              <w:t>.3:</w:t>
            </w:r>
            <w:r>
              <w:t xml:space="preserve"> </w:t>
            </w:r>
            <w:r w:rsidRPr="00394B3D">
              <w:t xml:space="preserve">Le nombre maximal d’étudiants présélectionnés par Telecom </w:t>
            </w:r>
            <w:r w:rsidR="000A2A07">
              <w:t>Paris</w:t>
            </w:r>
            <w:r w:rsidRPr="00394B3D">
              <w:t xml:space="preserve"> et proposés à l’</w:t>
            </w:r>
            <w:r w:rsidR="00D612B2">
              <w:t>EESC</w:t>
            </w:r>
            <w:r w:rsidRPr="00394B3D">
              <w:t xml:space="preserve"> sera fixé chaque année d’un commun accord et avec une antécédence minimale définie dans l’appel annuel.</w:t>
            </w:r>
          </w:p>
        </w:tc>
      </w:tr>
      <w:tr w:rsidR="00A75874" w:rsidTr="00DF3337">
        <w:tc>
          <w:tcPr>
            <w:tcW w:w="4632" w:type="dxa"/>
          </w:tcPr>
          <w:p w:rsidR="00A75874" w:rsidRDefault="00A75874" w:rsidP="00601025"/>
        </w:tc>
        <w:tc>
          <w:tcPr>
            <w:tcW w:w="460" w:type="dxa"/>
          </w:tcPr>
          <w:p w:rsidR="00A75874" w:rsidRDefault="00A75874" w:rsidP="00601025"/>
        </w:tc>
        <w:tc>
          <w:tcPr>
            <w:tcW w:w="4684" w:type="dxa"/>
          </w:tcPr>
          <w:p w:rsidR="00A75874" w:rsidRDefault="00A75874" w:rsidP="00601025"/>
        </w:tc>
      </w:tr>
      <w:tr w:rsidR="00431A32" w:rsidRPr="00431A32" w:rsidTr="00DF3337">
        <w:tc>
          <w:tcPr>
            <w:tcW w:w="4632" w:type="dxa"/>
          </w:tcPr>
          <w:p w:rsidR="00431A32" w:rsidRPr="00431A32" w:rsidRDefault="00431A32" w:rsidP="00431A32">
            <w:pPr>
              <w:rPr>
                <w:b/>
                <w:lang w:val="pt-BR"/>
              </w:rPr>
            </w:pPr>
            <w:r w:rsidRPr="00431A32">
              <w:rPr>
                <w:b/>
                <w:lang w:val="pt-BR"/>
              </w:rPr>
              <w:t xml:space="preserve">Artigo </w:t>
            </w:r>
            <w:r w:rsidR="00F65E7F">
              <w:rPr>
                <w:b/>
                <w:lang w:val="pt-BR"/>
              </w:rPr>
              <w:t>7</w:t>
            </w:r>
            <w:r w:rsidRPr="00431A32">
              <w:rPr>
                <w:b/>
                <w:lang w:val="pt-BR"/>
              </w:rPr>
              <w:t xml:space="preserve">. Duração dos estudos na </w:t>
            </w:r>
            <w:r w:rsidR="00D612B2">
              <w:rPr>
                <w:b/>
                <w:lang w:val="pt-BR"/>
              </w:rPr>
              <w:t>EESC</w:t>
            </w:r>
          </w:p>
          <w:p w:rsidR="00431A32" w:rsidRPr="00394B3D" w:rsidRDefault="00431A32" w:rsidP="00431A32">
            <w:pPr>
              <w:rPr>
                <w:lang w:val="pt-BR"/>
              </w:rPr>
            </w:pPr>
          </w:p>
          <w:p w:rsidR="00431A32" w:rsidRPr="00431A32" w:rsidRDefault="00431A32" w:rsidP="0040746D">
            <w:pPr>
              <w:rPr>
                <w:lang w:val="pt-BR"/>
              </w:rPr>
            </w:pPr>
            <w:r w:rsidRPr="00394B3D">
              <w:rPr>
                <w:lang w:val="pt-BR"/>
              </w:rPr>
              <w:t>Para os estudantes vindo</w:t>
            </w:r>
            <w:r w:rsidR="00E861D6">
              <w:rPr>
                <w:lang w:val="pt-BR"/>
              </w:rPr>
              <w:t>s</w:t>
            </w:r>
            <w:r w:rsidRPr="00394B3D">
              <w:rPr>
                <w:lang w:val="pt-BR"/>
              </w:rPr>
              <w:t xml:space="preserve"> d</w:t>
            </w:r>
            <w:r w:rsidR="00E861D6">
              <w:rPr>
                <w:lang w:val="pt-BR"/>
              </w:rPr>
              <w:t>a</w:t>
            </w:r>
            <w:r w:rsidRPr="00394B3D">
              <w:rPr>
                <w:lang w:val="pt-BR"/>
              </w:rPr>
              <w:t xml:space="preserve"> Telecom </w:t>
            </w:r>
            <w:r w:rsidR="000A2A07">
              <w:rPr>
                <w:lang w:val="pt-BR"/>
              </w:rPr>
              <w:t>Paris</w:t>
            </w:r>
            <w:r w:rsidRPr="00394B3D">
              <w:rPr>
                <w:lang w:val="pt-BR"/>
              </w:rPr>
              <w:t>, os estudos n</w:t>
            </w:r>
            <w:r>
              <w:rPr>
                <w:lang w:val="pt-BR"/>
              </w:rPr>
              <w:t xml:space="preserve">a </w:t>
            </w:r>
            <w:r w:rsidR="00D612B2">
              <w:rPr>
                <w:lang w:val="pt-BR"/>
              </w:rPr>
              <w:t>EESC</w:t>
            </w:r>
            <w:r w:rsidRPr="00394B3D">
              <w:rPr>
                <w:lang w:val="pt-BR"/>
              </w:rPr>
              <w:t xml:space="preserve"> terão uma duração de no </w:t>
            </w:r>
            <w:r w:rsidRPr="00267D3D">
              <w:rPr>
                <w:lang w:val="pt-BR"/>
              </w:rPr>
              <w:t xml:space="preserve">mínimo </w:t>
            </w:r>
            <w:r w:rsidR="00B65F36" w:rsidRPr="00267D3D">
              <w:rPr>
                <w:lang w:val="pt-BR"/>
              </w:rPr>
              <w:t>3</w:t>
            </w:r>
            <w:r w:rsidRPr="00394B3D">
              <w:rPr>
                <w:lang w:val="pt-BR"/>
              </w:rPr>
              <w:t xml:space="preserve"> semestres</w:t>
            </w:r>
            <w:r w:rsidR="0040746D">
              <w:rPr>
                <w:lang w:val="pt-BR"/>
              </w:rPr>
              <w:t>.</w:t>
            </w:r>
          </w:p>
        </w:tc>
        <w:tc>
          <w:tcPr>
            <w:tcW w:w="460" w:type="dxa"/>
          </w:tcPr>
          <w:p w:rsidR="00431A32" w:rsidRPr="00431A32" w:rsidRDefault="00431A32" w:rsidP="000E2344">
            <w:pPr>
              <w:rPr>
                <w:lang w:val="pt-BR"/>
              </w:rPr>
            </w:pPr>
          </w:p>
        </w:tc>
        <w:tc>
          <w:tcPr>
            <w:tcW w:w="4684" w:type="dxa"/>
          </w:tcPr>
          <w:p w:rsidR="00431A32" w:rsidRPr="00431A32" w:rsidRDefault="00431A32" w:rsidP="00431A32">
            <w:pPr>
              <w:rPr>
                <w:b/>
              </w:rPr>
            </w:pPr>
            <w:r w:rsidRPr="00431A32">
              <w:rPr>
                <w:b/>
              </w:rPr>
              <w:t xml:space="preserve">Article </w:t>
            </w:r>
            <w:r w:rsidR="00F65E7F">
              <w:rPr>
                <w:b/>
              </w:rPr>
              <w:t>7</w:t>
            </w:r>
            <w:r w:rsidRPr="00431A32">
              <w:rPr>
                <w:b/>
              </w:rPr>
              <w:t>. Durée des études à l’</w:t>
            </w:r>
            <w:r w:rsidR="00D612B2">
              <w:rPr>
                <w:b/>
              </w:rPr>
              <w:t>EESC</w:t>
            </w:r>
          </w:p>
          <w:p w:rsidR="00431A32" w:rsidRPr="00394B3D" w:rsidRDefault="00431A32" w:rsidP="00431A32"/>
          <w:p w:rsidR="00431A32" w:rsidRPr="00431A32" w:rsidRDefault="00431A32" w:rsidP="00394B3D">
            <w:r w:rsidRPr="004D69E0">
              <w:t>La durée des études à l’</w:t>
            </w:r>
            <w:r w:rsidR="00D612B2">
              <w:t>EESC</w:t>
            </w:r>
            <w:r w:rsidRPr="004D69E0">
              <w:t xml:space="preserve"> pour les élèves venant de Telecom </w:t>
            </w:r>
            <w:r w:rsidR="000A2A07">
              <w:t>Paris</w:t>
            </w:r>
            <w:r w:rsidRPr="004D69E0">
              <w:t xml:space="preserve"> sera d’au moins </w:t>
            </w:r>
            <w:r w:rsidR="00B65F36">
              <w:t>3</w:t>
            </w:r>
            <w:r w:rsidRPr="004D69E0">
              <w:t xml:space="preserve"> semestres</w:t>
            </w:r>
            <w:r w:rsidR="00C66F10">
              <w:t>.</w:t>
            </w:r>
            <w:r w:rsidRPr="004D69E0">
              <w:t xml:space="preserve"> </w:t>
            </w:r>
          </w:p>
        </w:tc>
      </w:tr>
      <w:tr w:rsidR="00A75874" w:rsidTr="00DF3337">
        <w:tc>
          <w:tcPr>
            <w:tcW w:w="4632" w:type="dxa"/>
          </w:tcPr>
          <w:p w:rsidR="00A75874" w:rsidRDefault="00A75874" w:rsidP="00601025"/>
        </w:tc>
        <w:tc>
          <w:tcPr>
            <w:tcW w:w="460" w:type="dxa"/>
          </w:tcPr>
          <w:p w:rsidR="00A75874" w:rsidRDefault="00A75874" w:rsidP="00601025"/>
        </w:tc>
        <w:tc>
          <w:tcPr>
            <w:tcW w:w="4684" w:type="dxa"/>
          </w:tcPr>
          <w:p w:rsidR="00A75874" w:rsidRDefault="00A75874" w:rsidP="00601025"/>
        </w:tc>
      </w:tr>
      <w:tr w:rsidR="00431A32" w:rsidRPr="00431A32" w:rsidTr="00DF3337">
        <w:tc>
          <w:tcPr>
            <w:tcW w:w="4632" w:type="dxa"/>
          </w:tcPr>
          <w:p w:rsidR="00431A32" w:rsidRPr="00431A32" w:rsidRDefault="00431A32" w:rsidP="00431A32">
            <w:pPr>
              <w:rPr>
                <w:b/>
                <w:lang w:val="pt-BR"/>
              </w:rPr>
            </w:pPr>
            <w:r w:rsidRPr="00431A32">
              <w:rPr>
                <w:b/>
                <w:lang w:val="pt-BR"/>
              </w:rPr>
              <w:t xml:space="preserve">Artigo </w:t>
            </w:r>
            <w:r w:rsidR="00F65E7F">
              <w:rPr>
                <w:b/>
                <w:lang w:val="pt-BR"/>
              </w:rPr>
              <w:t>8</w:t>
            </w:r>
            <w:r w:rsidRPr="00431A32">
              <w:rPr>
                <w:b/>
                <w:lang w:val="pt-BR"/>
              </w:rPr>
              <w:t>. Programa de estudos</w:t>
            </w:r>
          </w:p>
          <w:p w:rsidR="00431A32" w:rsidRPr="00394B3D" w:rsidRDefault="00431A32" w:rsidP="00431A32">
            <w:pPr>
              <w:rPr>
                <w:lang w:val="pt-BR"/>
              </w:rPr>
            </w:pPr>
          </w:p>
          <w:p w:rsidR="00431A32" w:rsidRDefault="00431A32" w:rsidP="00431A32">
            <w:pPr>
              <w:rPr>
                <w:lang w:val="pt-BR"/>
              </w:rPr>
            </w:pPr>
            <w:r w:rsidRPr="00431A32">
              <w:rPr>
                <w:b/>
                <w:lang w:val="pt-BR"/>
              </w:rPr>
              <w:t xml:space="preserve">Artigo </w:t>
            </w:r>
            <w:r w:rsidR="00F65E7F">
              <w:rPr>
                <w:b/>
                <w:lang w:val="pt-BR"/>
              </w:rPr>
              <w:t>8</w:t>
            </w:r>
            <w:r w:rsidRPr="00431A32">
              <w:rPr>
                <w:b/>
                <w:lang w:val="pt-BR"/>
              </w:rPr>
              <w:t>.1</w:t>
            </w:r>
            <w:r>
              <w:rPr>
                <w:lang w:val="pt-BR"/>
              </w:rPr>
              <w:t xml:space="preserve">: </w:t>
            </w:r>
            <w:r w:rsidRPr="0069273B">
              <w:rPr>
                <w:lang w:val="pt-BR"/>
              </w:rPr>
              <w:t xml:space="preserve">O programa de estudos para cada aluno participante selecionado deverá ser explicitado em um plano de estudos aprovado por ambas as Escolas e pelo aluno. Tal plano deverá </w:t>
            </w:r>
            <w:r w:rsidR="00EE3945">
              <w:rPr>
                <w:lang w:val="pt-BR"/>
              </w:rPr>
              <w:t xml:space="preserve">precisar, </w:t>
            </w:r>
            <w:r>
              <w:rPr>
                <w:lang w:val="pt-BR"/>
              </w:rPr>
              <w:t>por semestre</w:t>
            </w:r>
            <w:r w:rsidR="00EE3945">
              <w:rPr>
                <w:lang w:val="pt-BR"/>
              </w:rPr>
              <w:t>,</w:t>
            </w:r>
            <w:r>
              <w:rPr>
                <w:lang w:val="pt-BR"/>
              </w:rPr>
              <w:t xml:space="preserve"> o número de créditos correspondentes </w:t>
            </w:r>
            <w:r w:rsidRPr="0069273B">
              <w:rPr>
                <w:lang w:val="pt-BR"/>
              </w:rPr>
              <w:t>todas as atividades acadêmicas (disciplinas, estágios, projetos, etc</w:t>
            </w:r>
            <w:r w:rsidR="00B65F36">
              <w:rPr>
                <w:lang w:val="pt-BR"/>
              </w:rPr>
              <w:t>.</w:t>
            </w:r>
            <w:r w:rsidRPr="0069273B">
              <w:rPr>
                <w:lang w:val="pt-BR"/>
              </w:rPr>
              <w:t xml:space="preserve">) a serem realizadas pelo aluno durante o período </w:t>
            </w:r>
            <w:r w:rsidRPr="0069273B">
              <w:rPr>
                <w:lang w:val="pt-BR"/>
              </w:rPr>
              <w:lastRenderedPageBreak/>
              <w:t>em que o estudante estiver n</w:t>
            </w:r>
            <w:r w:rsidR="00EE3945">
              <w:rPr>
                <w:lang w:val="pt-BR"/>
              </w:rPr>
              <w:t>o</w:t>
            </w:r>
            <w:r w:rsidRPr="0069273B">
              <w:rPr>
                <w:lang w:val="pt-BR"/>
              </w:rPr>
              <w:t xml:space="preserve"> </w:t>
            </w:r>
            <w:r>
              <w:rPr>
                <w:lang w:val="pt-BR"/>
              </w:rPr>
              <w:t>EA</w:t>
            </w:r>
            <w:r w:rsidRPr="0069273B">
              <w:rPr>
                <w:lang w:val="pt-BR"/>
              </w:rPr>
              <w:t xml:space="preserve"> e, após sua volta, n</w:t>
            </w:r>
            <w:r w:rsidR="00EE3945">
              <w:rPr>
                <w:lang w:val="pt-BR"/>
              </w:rPr>
              <w:t>o</w:t>
            </w:r>
            <w:r w:rsidRPr="0069273B">
              <w:rPr>
                <w:lang w:val="pt-BR"/>
              </w:rPr>
              <w:t xml:space="preserve"> </w:t>
            </w:r>
            <w:r>
              <w:rPr>
                <w:lang w:val="pt-BR"/>
              </w:rPr>
              <w:t>EO</w:t>
            </w:r>
            <w:r w:rsidRPr="0069273B">
              <w:rPr>
                <w:lang w:val="pt-BR"/>
              </w:rPr>
              <w:t xml:space="preserve">, a fim de habilitá-lo </w:t>
            </w:r>
            <w:r w:rsidR="00991FC9">
              <w:rPr>
                <w:lang w:val="pt-BR"/>
              </w:rPr>
              <w:t>à</w:t>
            </w:r>
            <w:r w:rsidRPr="0069273B">
              <w:rPr>
                <w:lang w:val="pt-BR"/>
              </w:rPr>
              <w:t xml:space="preserve"> recepção dos dois diplomas.</w:t>
            </w:r>
          </w:p>
          <w:p w:rsidR="00431A32" w:rsidRPr="00431A32" w:rsidRDefault="00431A32" w:rsidP="00431A32">
            <w:pPr>
              <w:rPr>
                <w:lang w:val="pt-BR"/>
              </w:rPr>
            </w:pPr>
          </w:p>
        </w:tc>
        <w:tc>
          <w:tcPr>
            <w:tcW w:w="460" w:type="dxa"/>
          </w:tcPr>
          <w:p w:rsidR="00431A32" w:rsidRPr="00431A32" w:rsidRDefault="00431A32" w:rsidP="000E2344">
            <w:pPr>
              <w:rPr>
                <w:lang w:val="pt-BR"/>
              </w:rPr>
            </w:pPr>
          </w:p>
        </w:tc>
        <w:tc>
          <w:tcPr>
            <w:tcW w:w="4684" w:type="dxa"/>
          </w:tcPr>
          <w:p w:rsidR="00431A32" w:rsidRPr="00431A32" w:rsidRDefault="00431A32" w:rsidP="00431A32">
            <w:pPr>
              <w:rPr>
                <w:b/>
              </w:rPr>
            </w:pPr>
            <w:r w:rsidRPr="00431A32">
              <w:rPr>
                <w:b/>
              </w:rPr>
              <w:t xml:space="preserve">Article </w:t>
            </w:r>
            <w:r w:rsidR="00F65E7F">
              <w:rPr>
                <w:b/>
              </w:rPr>
              <w:t>8</w:t>
            </w:r>
            <w:r w:rsidRPr="00431A32">
              <w:rPr>
                <w:b/>
              </w:rPr>
              <w:t xml:space="preserve">. Programme des études </w:t>
            </w:r>
          </w:p>
          <w:p w:rsidR="00431A32" w:rsidRPr="00394B3D" w:rsidRDefault="00431A32" w:rsidP="00431A32"/>
          <w:p w:rsidR="00431A32" w:rsidRPr="00431A32" w:rsidRDefault="00431A32" w:rsidP="00F65E7F">
            <w:r w:rsidRPr="00FC26DB">
              <w:t xml:space="preserve">Article </w:t>
            </w:r>
            <w:r w:rsidR="00F65E7F">
              <w:t>8</w:t>
            </w:r>
            <w:r>
              <w:t xml:space="preserve">.1: </w:t>
            </w:r>
            <w:r w:rsidRPr="00EE2349">
              <w:t xml:space="preserve">Le programme d’études de chaque étudiant sélectionné devra être explicité dans un plan d’études approuvé par les deux écoles et par l’étudiant. Ce programme devra contenir </w:t>
            </w:r>
            <w:r>
              <w:t xml:space="preserve">par semestre et en précisant le nombre de crédits correspondants </w:t>
            </w:r>
            <w:r w:rsidRPr="00EE2349">
              <w:t xml:space="preserve">toutes les activités académiques (cours, stages en entreprise, projets, etc.) qui seront réalisés par l’étudiant pendant la période au cours de laquelle il sera dans </w:t>
            </w:r>
            <w:r>
              <w:t>l’EA</w:t>
            </w:r>
            <w:r w:rsidRPr="00EE2349">
              <w:t xml:space="preserve"> et, après </w:t>
            </w:r>
            <w:r w:rsidRPr="00EE2349">
              <w:lastRenderedPageBreak/>
              <w:t xml:space="preserve">son retour, dans </w:t>
            </w:r>
            <w:r>
              <w:t>l’EO</w:t>
            </w:r>
            <w:r w:rsidRPr="00EE2349">
              <w:t xml:space="preserve">, </w:t>
            </w:r>
            <w:r>
              <w:t>a</w:t>
            </w:r>
            <w:r w:rsidRPr="00EE2349">
              <w:t>fin de l’habiliter à recevoir les deux diplômes.</w:t>
            </w:r>
          </w:p>
        </w:tc>
      </w:tr>
      <w:tr w:rsidR="00966376" w:rsidRPr="00272258" w:rsidTr="00DF3337">
        <w:tc>
          <w:tcPr>
            <w:tcW w:w="4632" w:type="dxa"/>
          </w:tcPr>
          <w:p w:rsidR="00966376" w:rsidRPr="008F0935" w:rsidRDefault="00966376" w:rsidP="00394B3D">
            <w:pPr>
              <w:rPr>
                <w:lang w:val="pt-BR"/>
              </w:rPr>
            </w:pPr>
            <w:r w:rsidRPr="008F0935">
              <w:rPr>
                <w:b/>
                <w:lang w:val="pt-BR"/>
              </w:rPr>
              <w:lastRenderedPageBreak/>
              <w:t>Artigo</w:t>
            </w:r>
            <w:r w:rsidR="00431A32" w:rsidRPr="008F0935">
              <w:rPr>
                <w:b/>
                <w:lang w:val="pt-BR"/>
              </w:rPr>
              <w:t xml:space="preserve"> </w:t>
            </w:r>
            <w:r w:rsidR="00F65E7F">
              <w:rPr>
                <w:b/>
                <w:lang w:val="pt-BR"/>
              </w:rPr>
              <w:t>8</w:t>
            </w:r>
            <w:r w:rsidRPr="008F0935">
              <w:rPr>
                <w:b/>
                <w:lang w:val="pt-BR"/>
              </w:rPr>
              <w:t>.2</w:t>
            </w:r>
            <w:r w:rsidR="00431A32" w:rsidRPr="008F0935">
              <w:rPr>
                <w:lang w:val="pt-BR"/>
              </w:rPr>
              <w:t xml:space="preserve">: </w:t>
            </w:r>
            <w:r w:rsidRPr="008F0935">
              <w:rPr>
                <w:lang w:val="pt-BR"/>
              </w:rPr>
              <w:t xml:space="preserve">Os estudantes de Telecom </w:t>
            </w:r>
            <w:r w:rsidR="000A2A07">
              <w:rPr>
                <w:lang w:val="pt-BR"/>
              </w:rPr>
              <w:t>Paris</w:t>
            </w:r>
            <w:r w:rsidRPr="008F0935">
              <w:rPr>
                <w:lang w:val="pt-BR"/>
              </w:rPr>
              <w:t xml:space="preserve"> serão integrados ao currículo padrão da </w:t>
            </w:r>
            <w:r w:rsidR="00D612B2">
              <w:rPr>
                <w:lang w:val="pt-BR"/>
              </w:rPr>
              <w:t>EESC</w:t>
            </w:r>
            <w:r w:rsidRPr="008F0935">
              <w:rPr>
                <w:lang w:val="pt-BR"/>
              </w:rPr>
              <w:t>.</w:t>
            </w:r>
          </w:p>
          <w:p w:rsidR="00C66F10" w:rsidRPr="008F0935" w:rsidRDefault="00C66F10" w:rsidP="00394B3D">
            <w:pPr>
              <w:rPr>
                <w:lang w:val="pt-BR"/>
              </w:rPr>
            </w:pPr>
            <w:r w:rsidRPr="008F0935">
              <w:rPr>
                <w:lang w:val="pt-BR"/>
              </w:rPr>
              <w:t>2 modalidades são possíveis:</w:t>
            </w:r>
          </w:p>
          <w:p w:rsidR="00C66F10" w:rsidRPr="008F0935" w:rsidRDefault="00C66F10" w:rsidP="00394B3D">
            <w:pPr>
              <w:rPr>
                <w:lang w:val="pt-BR"/>
              </w:rPr>
            </w:pPr>
            <w:r w:rsidRPr="008F0935">
              <w:rPr>
                <w:lang w:val="pt-BR"/>
              </w:rPr>
              <w:t xml:space="preserve">- No caso de cumprir 2 anos com sucesso na Telecom </w:t>
            </w:r>
            <w:r w:rsidR="000A2A07">
              <w:rPr>
                <w:lang w:val="pt-BR"/>
              </w:rPr>
              <w:t>Paris</w:t>
            </w:r>
            <w:r w:rsidRPr="008F0935">
              <w:rPr>
                <w:lang w:val="pt-BR"/>
              </w:rPr>
              <w:t xml:space="preserve"> antes da transferência para o Brasil, o aluno realizará na </w:t>
            </w:r>
            <w:r w:rsidR="00D612B2">
              <w:rPr>
                <w:lang w:val="pt-BR"/>
              </w:rPr>
              <w:t>EESC</w:t>
            </w:r>
            <w:r w:rsidRPr="008F0935">
              <w:rPr>
                <w:lang w:val="pt-BR"/>
              </w:rPr>
              <w:t xml:space="preserve"> o projeto de formatura. Um professor de Telecom </w:t>
            </w:r>
            <w:r w:rsidR="000A2A07">
              <w:rPr>
                <w:lang w:val="pt-BR"/>
              </w:rPr>
              <w:t>Paris</w:t>
            </w:r>
            <w:r w:rsidRPr="008F0935">
              <w:rPr>
                <w:lang w:val="pt-BR"/>
              </w:rPr>
              <w:t xml:space="preserve"> será designado como correspondente para o trabalho de formatura, terá acesso ao relatório e será convidado à defesa do trabalho. Após a conclusão </w:t>
            </w:r>
            <w:r w:rsidR="003A0D85" w:rsidRPr="008F0935">
              <w:rPr>
                <w:lang w:val="pt-BR"/>
              </w:rPr>
              <w:t xml:space="preserve">bem sucedida </w:t>
            </w:r>
            <w:r w:rsidRPr="008F0935">
              <w:rPr>
                <w:lang w:val="pt-BR"/>
              </w:rPr>
              <w:t>do projeto de formatura, o aluno poderá receber o diploma Franc</w:t>
            </w:r>
            <w:r w:rsidR="003A0D85" w:rsidRPr="008F0935">
              <w:rPr>
                <w:lang w:val="pt-BR"/>
              </w:rPr>
              <w:t>ê</w:t>
            </w:r>
            <w:r w:rsidRPr="008F0935">
              <w:rPr>
                <w:lang w:val="pt-BR"/>
              </w:rPr>
              <w:t>s diretamente.</w:t>
            </w:r>
          </w:p>
          <w:p w:rsidR="00267D3D" w:rsidRPr="0040746D" w:rsidRDefault="006A0A10" w:rsidP="003A0D85">
            <w:pPr>
              <w:rPr>
                <w:lang w:val="pt-BR"/>
              </w:rPr>
            </w:pPr>
            <w:r w:rsidRPr="008F0935">
              <w:rPr>
                <w:lang w:val="pt-BR"/>
              </w:rPr>
              <w:t xml:space="preserve">- No caso de cumprir um ano e meio com sucesso na Telecom </w:t>
            </w:r>
            <w:r w:rsidR="000A2A07">
              <w:rPr>
                <w:lang w:val="pt-BR"/>
              </w:rPr>
              <w:t>Paris</w:t>
            </w:r>
            <w:r w:rsidRPr="008F0935">
              <w:rPr>
                <w:lang w:val="pt-BR"/>
              </w:rPr>
              <w:t xml:space="preserve"> antes da transferência para o Brasil, o aluno voltará na Telecom </w:t>
            </w:r>
            <w:r w:rsidR="000A2A07">
              <w:rPr>
                <w:lang w:val="pt-BR"/>
              </w:rPr>
              <w:t>Paris</w:t>
            </w:r>
            <w:r w:rsidRPr="008F0935">
              <w:rPr>
                <w:lang w:val="pt-BR"/>
              </w:rPr>
              <w:t xml:space="preserve"> após a estadia de 3 semestres na </w:t>
            </w:r>
            <w:r w:rsidR="00D612B2">
              <w:rPr>
                <w:lang w:val="pt-BR"/>
              </w:rPr>
              <w:t>EESC</w:t>
            </w:r>
            <w:r w:rsidRPr="008F0935">
              <w:rPr>
                <w:lang w:val="pt-BR"/>
              </w:rPr>
              <w:t xml:space="preserve"> para cursar o terceiro ano dos estudos de engenharia na escola </w:t>
            </w:r>
            <w:r w:rsidR="007D5705" w:rsidRPr="008F0935">
              <w:rPr>
                <w:lang w:val="pt-BR"/>
              </w:rPr>
              <w:t xml:space="preserve">francesa </w:t>
            </w:r>
            <w:r w:rsidRPr="008F0935">
              <w:rPr>
                <w:lang w:val="pt-BR"/>
              </w:rPr>
              <w:t xml:space="preserve">e realizar um estágio  O estágio será considerado pela </w:t>
            </w:r>
            <w:r w:rsidR="00D612B2">
              <w:rPr>
                <w:lang w:val="pt-BR"/>
              </w:rPr>
              <w:t>EESC</w:t>
            </w:r>
            <w:r w:rsidRPr="008F0935">
              <w:rPr>
                <w:lang w:val="pt-BR"/>
              </w:rPr>
              <w:t xml:space="preserve"> como</w:t>
            </w:r>
            <w:r w:rsidR="007D5705" w:rsidRPr="008F0935">
              <w:rPr>
                <w:lang w:val="pt-BR"/>
              </w:rPr>
              <w:t xml:space="preserve"> projet</w:t>
            </w:r>
            <w:r w:rsidRPr="008F0935">
              <w:rPr>
                <w:lang w:val="pt-BR"/>
              </w:rPr>
              <w:t>o de form</w:t>
            </w:r>
            <w:r w:rsidR="007D5705" w:rsidRPr="008F0935">
              <w:rPr>
                <w:lang w:val="pt-BR"/>
              </w:rPr>
              <w:t>a</w:t>
            </w:r>
            <w:r w:rsidRPr="008F0935">
              <w:rPr>
                <w:lang w:val="pt-BR"/>
              </w:rPr>
              <w:t>tura.</w:t>
            </w:r>
            <w:r w:rsidR="003A0D85" w:rsidRPr="008F0935">
              <w:rPr>
                <w:lang w:val="pt-BR"/>
              </w:rPr>
              <w:t xml:space="preserve"> Após a conclusão bem sucedida do estágio, o aluno poderá receber o diploma Brasileiro diretamente.</w:t>
            </w:r>
          </w:p>
        </w:tc>
        <w:tc>
          <w:tcPr>
            <w:tcW w:w="460" w:type="dxa"/>
          </w:tcPr>
          <w:p w:rsidR="00966376" w:rsidRPr="00FC26DB" w:rsidRDefault="00966376" w:rsidP="000E2344">
            <w:pPr>
              <w:rPr>
                <w:lang w:val="pt-BR"/>
              </w:rPr>
            </w:pPr>
          </w:p>
        </w:tc>
        <w:tc>
          <w:tcPr>
            <w:tcW w:w="4684" w:type="dxa"/>
          </w:tcPr>
          <w:p w:rsidR="00966376" w:rsidRDefault="00431A32" w:rsidP="00394B3D">
            <w:r w:rsidRPr="00431A32">
              <w:rPr>
                <w:b/>
              </w:rPr>
              <w:t xml:space="preserve">Article </w:t>
            </w:r>
            <w:r w:rsidR="00F65E7F">
              <w:rPr>
                <w:b/>
              </w:rPr>
              <w:t>8</w:t>
            </w:r>
            <w:r w:rsidR="00966376" w:rsidRPr="00431A32">
              <w:rPr>
                <w:b/>
              </w:rPr>
              <w:t>.2</w:t>
            </w:r>
            <w:r>
              <w:t xml:space="preserve">: </w:t>
            </w:r>
            <w:r w:rsidR="00966376" w:rsidRPr="00394B3D">
              <w:t xml:space="preserve">Les étudiants de Telecom </w:t>
            </w:r>
            <w:r w:rsidR="000A2A07">
              <w:t>Paris</w:t>
            </w:r>
            <w:r w:rsidR="00966376" w:rsidRPr="00394B3D">
              <w:t xml:space="preserve"> seront intégrés dans le cursus standard de l’</w:t>
            </w:r>
            <w:r w:rsidR="00D612B2">
              <w:t>EESC</w:t>
            </w:r>
            <w:r w:rsidR="00966376" w:rsidRPr="00394B3D">
              <w:t>.</w:t>
            </w:r>
          </w:p>
          <w:p w:rsidR="003A0D85" w:rsidRDefault="003A0D85" w:rsidP="00394B3D">
            <w:r>
              <w:t>2 modalités sont possibles :</w:t>
            </w:r>
          </w:p>
          <w:p w:rsidR="00D901AC" w:rsidRDefault="003A0D85" w:rsidP="003A0D85">
            <w:r>
              <w:t xml:space="preserve">- Lorsque l’élève valide deux ans d’études à Telecom </w:t>
            </w:r>
            <w:r w:rsidR="000A2A07">
              <w:t>Paris</w:t>
            </w:r>
            <w:r>
              <w:t xml:space="preserve"> avant son transfert au Brésil, l’élève réalisera à l’</w:t>
            </w:r>
            <w:r w:rsidR="00D612B2">
              <w:t>EESC</w:t>
            </w:r>
            <w:r>
              <w:t xml:space="preserve"> le projet de fin d’études. Un professeur de Telecom </w:t>
            </w:r>
            <w:r w:rsidR="000A2A07">
              <w:t>Paris</w:t>
            </w:r>
            <w:r>
              <w:t xml:space="preserve"> sera désigné comme correspondant pour le projet de fin d’études, aura accès au mémoire et sera convié à la soutenance. Après la conclusion réussie du projet de fin d’études, l’élève pourra recevoir le diplôme français directement.</w:t>
            </w:r>
          </w:p>
          <w:p w:rsidR="003A0D85" w:rsidRPr="00394B3D" w:rsidRDefault="003A0D85" w:rsidP="003A0D85">
            <w:r>
              <w:t xml:space="preserve">- Lorsque l’élève valide un an et demi d’études à Telecom </w:t>
            </w:r>
            <w:r w:rsidR="000A2A07">
              <w:t>Paris</w:t>
            </w:r>
            <w:r>
              <w:t xml:space="preserve"> avant son transfert au Brésil, l’élève retournera à Telecom </w:t>
            </w:r>
            <w:r w:rsidR="000A2A07">
              <w:t>Paris</w:t>
            </w:r>
            <w:r>
              <w:t xml:space="preserve"> après 3 semestres d’études à l’</w:t>
            </w:r>
            <w:r w:rsidR="00D612B2">
              <w:t>EESC</w:t>
            </w:r>
            <w:r>
              <w:t xml:space="preserve"> pour suivre la troisième année </w:t>
            </w:r>
            <w:r w:rsidR="007D5705">
              <w:t>d’études d’ingénieur dans l’école française et réaliser un stage. Le stage sera considéré par l’</w:t>
            </w:r>
            <w:r w:rsidR="00D612B2">
              <w:t>EESC</w:t>
            </w:r>
            <w:r w:rsidR="007D5705">
              <w:t xml:space="preserve"> comme projet de fin d’études. Après conclusion réussie du stage, l’élève pourra recevoir le diplôme brésilien directement.</w:t>
            </w:r>
          </w:p>
          <w:p w:rsidR="00966376" w:rsidRPr="00FC26DB" w:rsidRDefault="00966376" w:rsidP="005841A6">
            <w:pPr>
              <w:rPr>
                <w:b/>
                <w:sz w:val="22"/>
              </w:rPr>
            </w:pPr>
          </w:p>
        </w:tc>
      </w:tr>
      <w:tr w:rsidR="00A75874" w:rsidTr="00DF3337">
        <w:tc>
          <w:tcPr>
            <w:tcW w:w="4632" w:type="dxa"/>
          </w:tcPr>
          <w:p w:rsidR="00A75874" w:rsidRDefault="00A75874" w:rsidP="00601025"/>
        </w:tc>
        <w:tc>
          <w:tcPr>
            <w:tcW w:w="460" w:type="dxa"/>
          </w:tcPr>
          <w:p w:rsidR="00A75874" w:rsidRDefault="00A75874" w:rsidP="00601025"/>
        </w:tc>
        <w:tc>
          <w:tcPr>
            <w:tcW w:w="4684" w:type="dxa"/>
          </w:tcPr>
          <w:p w:rsidR="00A75874" w:rsidRDefault="00A75874" w:rsidP="00601025"/>
        </w:tc>
      </w:tr>
      <w:tr w:rsidR="008455DA" w:rsidRPr="008455DA" w:rsidTr="00DF3337">
        <w:tc>
          <w:tcPr>
            <w:tcW w:w="4632" w:type="dxa"/>
          </w:tcPr>
          <w:p w:rsidR="008455DA" w:rsidRPr="00267D3D" w:rsidRDefault="008455DA" w:rsidP="001A67EC">
            <w:pPr>
              <w:jc w:val="center"/>
              <w:rPr>
                <w:b/>
                <w:caps/>
                <w:szCs w:val="20"/>
                <w:lang w:val="pt-BR"/>
              </w:rPr>
            </w:pPr>
            <w:r w:rsidRPr="00267D3D">
              <w:rPr>
                <w:b/>
                <w:caps/>
                <w:szCs w:val="20"/>
                <w:lang w:val="pt-BR"/>
              </w:rPr>
              <w:t>Disposições gerais</w:t>
            </w:r>
          </w:p>
          <w:p w:rsidR="008455DA" w:rsidRPr="00267D3D" w:rsidRDefault="008455DA" w:rsidP="008455DA">
            <w:pPr>
              <w:rPr>
                <w:b/>
                <w:sz w:val="22"/>
                <w:lang w:val="pt-BR"/>
              </w:rPr>
            </w:pPr>
          </w:p>
          <w:p w:rsidR="008455DA" w:rsidRPr="00267D3D" w:rsidRDefault="008455DA" w:rsidP="008455DA">
            <w:pPr>
              <w:rPr>
                <w:b/>
                <w:lang w:val="pt-BR"/>
              </w:rPr>
            </w:pPr>
            <w:r w:rsidRPr="00267D3D">
              <w:rPr>
                <w:b/>
                <w:lang w:val="pt-BR"/>
              </w:rPr>
              <w:t xml:space="preserve">Artigo </w:t>
            </w:r>
            <w:r w:rsidR="00F65E7F">
              <w:rPr>
                <w:b/>
                <w:lang w:val="pt-BR"/>
              </w:rPr>
              <w:t>9</w:t>
            </w:r>
            <w:r w:rsidRPr="00267D3D">
              <w:rPr>
                <w:b/>
                <w:lang w:val="pt-BR"/>
              </w:rPr>
              <w:t>. Custo dos estudos</w:t>
            </w:r>
          </w:p>
          <w:p w:rsidR="008455DA" w:rsidRPr="00267D3D" w:rsidRDefault="008455DA" w:rsidP="008455DA">
            <w:pPr>
              <w:rPr>
                <w:lang w:val="pt-BR"/>
              </w:rPr>
            </w:pPr>
          </w:p>
          <w:p w:rsidR="008455DA" w:rsidRPr="00267D3D" w:rsidRDefault="008455DA" w:rsidP="00F65E7F">
            <w:pPr>
              <w:rPr>
                <w:lang w:val="pt-BR"/>
              </w:rPr>
            </w:pPr>
            <w:r w:rsidRPr="00267D3D">
              <w:rPr>
                <w:b/>
                <w:lang w:val="pt-BR"/>
              </w:rPr>
              <w:t xml:space="preserve">Artigo </w:t>
            </w:r>
            <w:r w:rsidR="00F65E7F">
              <w:rPr>
                <w:b/>
                <w:lang w:val="pt-BR"/>
              </w:rPr>
              <w:t>9</w:t>
            </w:r>
            <w:r w:rsidRPr="00267D3D">
              <w:rPr>
                <w:b/>
                <w:lang w:val="pt-BR"/>
              </w:rPr>
              <w:t>.1</w:t>
            </w:r>
            <w:r w:rsidRPr="00267D3D">
              <w:rPr>
                <w:lang w:val="pt-BR"/>
              </w:rPr>
              <w:t>: Para o primeiro ano do intercâmbio, cada aluno participante do programa</w:t>
            </w:r>
            <w:r w:rsidR="00EE3945" w:rsidRPr="00267D3D">
              <w:rPr>
                <w:lang w:val="pt-BR"/>
              </w:rPr>
              <w:t xml:space="preserve"> </w:t>
            </w:r>
            <w:r w:rsidRPr="00267D3D">
              <w:rPr>
                <w:lang w:val="pt-BR"/>
              </w:rPr>
              <w:t>de duplo-diploma estabelecido por este acordo pagará a taxa de inscrição</w:t>
            </w:r>
            <w:r w:rsidR="00D20509" w:rsidRPr="00267D3D">
              <w:rPr>
                <w:lang w:val="pt-BR"/>
              </w:rPr>
              <w:t xml:space="preserve"> </w:t>
            </w:r>
            <w:r w:rsidRPr="00267D3D">
              <w:rPr>
                <w:lang w:val="pt-BR"/>
              </w:rPr>
              <w:t xml:space="preserve">ao EO. O EA não pedirá o pagamento de despesas de inscrição acadêmicas ou administrativas suplementares, exceto o custo associado a cursos ou a ações específicos. </w:t>
            </w:r>
          </w:p>
        </w:tc>
        <w:tc>
          <w:tcPr>
            <w:tcW w:w="460" w:type="dxa"/>
          </w:tcPr>
          <w:p w:rsidR="008455DA" w:rsidRPr="00E03B45" w:rsidRDefault="008455DA" w:rsidP="000E2344">
            <w:pPr>
              <w:rPr>
                <w:strike/>
                <w:lang w:val="pt-BR"/>
              </w:rPr>
            </w:pPr>
          </w:p>
        </w:tc>
        <w:tc>
          <w:tcPr>
            <w:tcW w:w="4684" w:type="dxa"/>
          </w:tcPr>
          <w:p w:rsidR="008455DA" w:rsidRPr="00267D3D" w:rsidRDefault="008455DA" w:rsidP="001A67EC">
            <w:pPr>
              <w:jc w:val="center"/>
              <w:rPr>
                <w:b/>
                <w:caps/>
                <w:szCs w:val="20"/>
              </w:rPr>
            </w:pPr>
            <w:r w:rsidRPr="00267D3D">
              <w:rPr>
                <w:b/>
                <w:caps/>
                <w:szCs w:val="20"/>
              </w:rPr>
              <w:t>Dispositions Générales</w:t>
            </w:r>
          </w:p>
          <w:p w:rsidR="008455DA" w:rsidRPr="00267D3D" w:rsidRDefault="008455DA" w:rsidP="008455DA">
            <w:pPr>
              <w:rPr>
                <w:b/>
                <w:sz w:val="22"/>
              </w:rPr>
            </w:pPr>
          </w:p>
          <w:p w:rsidR="008455DA" w:rsidRPr="00267D3D" w:rsidRDefault="008455DA" w:rsidP="008455DA">
            <w:pPr>
              <w:rPr>
                <w:b/>
              </w:rPr>
            </w:pPr>
            <w:r w:rsidRPr="00267D3D">
              <w:rPr>
                <w:b/>
              </w:rPr>
              <w:t xml:space="preserve">Article </w:t>
            </w:r>
            <w:r w:rsidR="00F65E7F">
              <w:rPr>
                <w:b/>
              </w:rPr>
              <w:t>9</w:t>
            </w:r>
            <w:r w:rsidRPr="00267D3D">
              <w:rPr>
                <w:b/>
              </w:rPr>
              <w:t>. Frais des études</w:t>
            </w:r>
          </w:p>
          <w:p w:rsidR="008455DA" w:rsidRPr="00267D3D" w:rsidRDefault="008455DA" w:rsidP="008455DA"/>
          <w:p w:rsidR="008455DA" w:rsidRPr="00267D3D" w:rsidRDefault="008455DA" w:rsidP="008455DA">
            <w:r w:rsidRPr="00267D3D">
              <w:rPr>
                <w:b/>
              </w:rPr>
              <w:t xml:space="preserve">Article </w:t>
            </w:r>
            <w:r w:rsidR="00F65E7F">
              <w:rPr>
                <w:b/>
              </w:rPr>
              <w:t>9</w:t>
            </w:r>
            <w:r w:rsidRPr="00267D3D">
              <w:rPr>
                <w:b/>
              </w:rPr>
              <w:t>.1</w:t>
            </w:r>
            <w:r w:rsidRPr="00267D3D">
              <w:t xml:space="preserve">: Pour la première année de l'échange, chaque élève participant au programme de double-diplôme établi par cet accord paiera tout droit d'inscription à l'EO. L’EA ne demandera pas le paiement de frais d'inscription académiques ou administratifs supplémentaires, à l’exception des frais associés à des cours ou à des actions spécifiques. </w:t>
            </w:r>
          </w:p>
          <w:p w:rsidR="008455DA" w:rsidRPr="00267D3D" w:rsidRDefault="008455DA" w:rsidP="0091583B">
            <w:pPr>
              <w:rPr>
                <w:b/>
                <w:caps/>
                <w:szCs w:val="20"/>
              </w:rPr>
            </w:pPr>
          </w:p>
        </w:tc>
      </w:tr>
      <w:tr w:rsidR="008455DA" w:rsidRPr="008455DA" w:rsidTr="00DF3337">
        <w:tc>
          <w:tcPr>
            <w:tcW w:w="4632" w:type="dxa"/>
          </w:tcPr>
          <w:p w:rsidR="008455DA" w:rsidRDefault="008455DA" w:rsidP="001A67EC">
            <w:pPr>
              <w:rPr>
                <w:lang w:val="pt-BR"/>
              </w:rPr>
            </w:pPr>
            <w:r w:rsidRPr="00267D3D">
              <w:rPr>
                <w:b/>
                <w:lang w:val="pt-BR"/>
              </w:rPr>
              <w:t xml:space="preserve">Artigo </w:t>
            </w:r>
            <w:r w:rsidR="00F65E7F">
              <w:rPr>
                <w:b/>
                <w:lang w:val="pt-BR"/>
              </w:rPr>
              <w:t>9</w:t>
            </w:r>
            <w:r w:rsidRPr="00267D3D">
              <w:rPr>
                <w:b/>
                <w:lang w:val="pt-BR"/>
              </w:rPr>
              <w:t>.2</w:t>
            </w:r>
            <w:r w:rsidRPr="00267D3D">
              <w:rPr>
                <w:lang w:val="pt-BR"/>
              </w:rPr>
              <w:t>: Para o segundo ano do intercâmbio, cada aluno participante do programa</w:t>
            </w:r>
            <w:r w:rsidR="00EE3945" w:rsidRPr="00267D3D">
              <w:rPr>
                <w:lang w:val="pt-BR"/>
              </w:rPr>
              <w:t xml:space="preserve"> </w:t>
            </w:r>
            <w:r w:rsidRPr="00267D3D">
              <w:rPr>
                <w:lang w:val="pt-BR"/>
              </w:rPr>
              <w:t>de duplo-diploma pagará a taxa de inscrição ao EA conforme o valor exigido dos alunos locais. Para estes estudantes, o E</w:t>
            </w:r>
            <w:r w:rsidR="00D20509" w:rsidRPr="00267D3D">
              <w:rPr>
                <w:lang w:val="pt-BR"/>
              </w:rPr>
              <w:t>A</w:t>
            </w:r>
            <w:r w:rsidRPr="00267D3D">
              <w:rPr>
                <w:lang w:val="pt-BR"/>
              </w:rPr>
              <w:t xml:space="preserve"> procurará minimizar tanto quanto possível o valor d</w:t>
            </w:r>
            <w:r w:rsidR="00D866C8" w:rsidRPr="00267D3D">
              <w:rPr>
                <w:lang w:val="pt-BR"/>
              </w:rPr>
              <w:t>esse</w:t>
            </w:r>
            <w:r w:rsidRPr="00267D3D">
              <w:rPr>
                <w:lang w:val="pt-BR"/>
              </w:rPr>
              <w:t xml:space="preserve"> custo.</w:t>
            </w:r>
          </w:p>
          <w:p w:rsidR="004F64F1" w:rsidRDefault="004F64F1" w:rsidP="001A67EC">
            <w:pPr>
              <w:rPr>
                <w:lang w:val="pt-BR"/>
              </w:rPr>
            </w:pPr>
          </w:p>
          <w:p w:rsidR="004F64F1" w:rsidRDefault="004F64F1" w:rsidP="001A67EC">
            <w:pPr>
              <w:rPr>
                <w:lang w:val="pt-BR"/>
              </w:rPr>
            </w:pPr>
            <w:r w:rsidRPr="00267D3D">
              <w:rPr>
                <w:b/>
                <w:lang w:val="pt-BR"/>
              </w:rPr>
              <w:t xml:space="preserve">Artigo </w:t>
            </w:r>
            <w:r>
              <w:rPr>
                <w:b/>
                <w:lang w:val="pt-BR"/>
              </w:rPr>
              <w:t>9</w:t>
            </w:r>
            <w:r w:rsidRPr="00267D3D">
              <w:rPr>
                <w:b/>
                <w:lang w:val="pt-BR"/>
              </w:rPr>
              <w:t>.3</w:t>
            </w:r>
            <w:r w:rsidRPr="00267D3D">
              <w:rPr>
                <w:lang w:val="pt-BR"/>
              </w:rPr>
              <w:t>: A obtenção de bolsas (E</w:t>
            </w:r>
            <w:r>
              <w:rPr>
                <w:lang w:val="pt-BR"/>
              </w:rPr>
              <w:t xml:space="preserve">iffel, Brafitec) implicará uma exoneração total </w:t>
            </w:r>
            <w:r w:rsidRPr="00267D3D">
              <w:rPr>
                <w:lang w:val="pt-BR"/>
              </w:rPr>
              <w:t>daqueles custos.</w:t>
            </w:r>
          </w:p>
          <w:p w:rsidR="004F64F1" w:rsidRDefault="004F64F1" w:rsidP="001A67EC">
            <w:pPr>
              <w:rPr>
                <w:lang w:val="pt-BR"/>
              </w:rPr>
            </w:pPr>
          </w:p>
          <w:p w:rsidR="004F64F1" w:rsidRPr="00267D3D" w:rsidRDefault="004F64F1" w:rsidP="001A67EC">
            <w:pPr>
              <w:rPr>
                <w:b/>
                <w:lang w:val="pt-BR"/>
              </w:rPr>
            </w:pPr>
          </w:p>
        </w:tc>
        <w:tc>
          <w:tcPr>
            <w:tcW w:w="460" w:type="dxa"/>
          </w:tcPr>
          <w:p w:rsidR="008455DA" w:rsidRPr="00E03B45" w:rsidRDefault="008455DA" w:rsidP="000E2344">
            <w:pPr>
              <w:rPr>
                <w:strike/>
                <w:lang w:val="pt-BR"/>
              </w:rPr>
            </w:pPr>
          </w:p>
        </w:tc>
        <w:tc>
          <w:tcPr>
            <w:tcW w:w="4684" w:type="dxa"/>
          </w:tcPr>
          <w:p w:rsidR="008455DA" w:rsidRDefault="008455DA" w:rsidP="001A67EC">
            <w:r w:rsidRPr="00267D3D">
              <w:rPr>
                <w:b/>
              </w:rPr>
              <w:t xml:space="preserve">Article </w:t>
            </w:r>
            <w:r w:rsidR="00F65E7F">
              <w:rPr>
                <w:b/>
              </w:rPr>
              <w:t>9</w:t>
            </w:r>
            <w:r w:rsidRPr="00267D3D">
              <w:rPr>
                <w:b/>
              </w:rPr>
              <w:t>.2</w:t>
            </w:r>
            <w:r w:rsidRPr="00267D3D">
              <w:t>: Pour la seconde année de l’échange, chaque élève participant au programme de double-diplôme paiera tout droit d’inscription</w:t>
            </w:r>
            <w:r w:rsidR="00267D3D">
              <w:t xml:space="preserve"> </w:t>
            </w:r>
            <w:r w:rsidRPr="00267D3D">
              <w:t>à l’EA selon la valeur exigée des élèves locaux.</w:t>
            </w:r>
            <w:r w:rsidR="00267D3D">
              <w:t xml:space="preserve"> </w:t>
            </w:r>
            <w:r w:rsidRPr="00267D3D">
              <w:t>Pour ces étudiants, l’E</w:t>
            </w:r>
            <w:r w:rsidR="00267D3D">
              <w:t>A</w:t>
            </w:r>
            <w:r w:rsidRPr="00267D3D">
              <w:t xml:space="preserve"> visera à réduire autant que possible le montant des frais de scolarité.</w:t>
            </w:r>
          </w:p>
          <w:p w:rsidR="004F64F1" w:rsidRDefault="004F64F1" w:rsidP="001A67EC"/>
          <w:p w:rsidR="004F64F1" w:rsidRPr="00267D3D" w:rsidRDefault="004F64F1" w:rsidP="001A67EC">
            <w:pPr>
              <w:rPr>
                <w:b/>
              </w:rPr>
            </w:pPr>
            <w:r w:rsidRPr="00267D3D">
              <w:rPr>
                <w:b/>
              </w:rPr>
              <w:t xml:space="preserve">Article </w:t>
            </w:r>
            <w:r>
              <w:rPr>
                <w:b/>
              </w:rPr>
              <w:t>9</w:t>
            </w:r>
            <w:r w:rsidRPr="00267D3D">
              <w:rPr>
                <w:b/>
              </w:rPr>
              <w:t>.3</w:t>
            </w:r>
            <w:r w:rsidRPr="00267D3D">
              <w:t>: L’obtention de bo</w:t>
            </w:r>
            <w:r>
              <w:t xml:space="preserve">urses (Eiffel, Brafitec) </w:t>
            </w:r>
            <w:r w:rsidRPr="00267D3D">
              <w:t>impliquer</w:t>
            </w:r>
            <w:r>
              <w:t>a</w:t>
            </w:r>
            <w:r w:rsidRPr="00267D3D">
              <w:t xml:space="preserve"> une </w:t>
            </w:r>
            <w:r>
              <w:t xml:space="preserve">exonération totale </w:t>
            </w:r>
            <w:r w:rsidRPr="00267D3D">
              <w:t>de ces frais.</w:t>
            </w:r>
          </w:p>
        </w:tc>
      </w:tr>
      <w:tr w:rsidR="00A75874" w:rsidTr="00DF3337">
        <w:tc>
          <w:tcPr>
            <w:tcW w:w="4632" w:type="dxa"/>
          </w:tcPr>
          <w:p w:rsidR="00A75874" w:rsidRDefault="00A75874" w:rsidP="00601025"/>
        </w:tc>
        <w:tc>
          <w:tcPr>
            <w:tcW w:w="460" w:type="dxa"/>
          </w:tcPr>
          <w:p w:rsidR="00A75874" w:rsidRDefault="00A75874" w:rsidP="00601025"/>
        </w:tc>
        <w:tc>
          <w:tcPr>
            <w:tcW w:w="4684" w:type="dxa"/>
          </w:tcPr>
          <w:p w:rsidR="00A75874" w:rsidRDefault="00A75874" w:rsidP="00601025"/>
        </w:tc>
      </w:tr>
      <w:tr w:rsidR="00E03B45" w:rsidRPr="00855376" w:rsidTr="00DF3337">
        <w:tc>
          <w:tcPr>
            <w:tcW w:w="4632" w:type="dxa"/>
          </w:tcPr>
          <w:p w:rsidR="00E03B45" w:rsidRPr="00855376" w:rsidRDefault="00E03B45" w:rsidP="00E03B45">
            <w:pPr>
              <w:rPr>
                <w:b/>
                <w:lang w:val="pt-BR"/>
              </w:rPr>
            </w:pPr>
            <w:r w:rsidRPr="00855376">
              <w:rPr>
                <w:b/>
                <w:lang w:val="pt-BR"/>
              </w:rPr>
              <w:t xml:space="preserve">Artigo </w:t>
            </w:r>
            <w:r w:rsidR="00F65E7F">
              <w:rPr>
                <w:b/>
                <w:lang w:val="pt-BR"/>
              </w:rPr>
              <w:t>10</w:t>
            </w:r>
            <w:r w:rsidRPr="00855376">
              <w:rPr>
                <w:b/>
                <w:lang w:val="pt-BR"/>
              </w:rPr>
              <w:t>. Duração da validade do aditamento</w:t>
            </w:r>
          </w:p>
          <w:p w:rsidR="00E03B45" w:rsidRPr="0091583B" w:rsidRDefault="00E03B45" w:rsidP="00E03B45">
            <w:pPr>
              <w:rPr>
                <w:lang w:val="pt-BR"/>
              </w:rPr>
            </w:pPr>
          </w:p>
          <w:p w:rsidR="00E03B45" w:rsidRPr="0091583B" w:rsidRDefault="00E03B45" w:rsidP="00E03B45">
            <w:pPr>
              <w:rPr>
                <w:lang w:val="pt-BR"/>
              </w:rPr>
            </w:pPr>
            <w:r w:rsidRPr="00855376">
              <w:rPr>
                <w:b/>
                <w:lang w:val="pt-BR"/>
              </w:rPr>
              <w:t xml:space="preserve">Artigo </w:t>
            </w:r>
            <w:r w:rsidR="00F65E7F">
              <w:rPr>
                <w:b/>
                <w:lang w:val="pt-BR"/>
              </w:rPr>
              <w:t>10</w:t>
            </w:r>
            <w:r>
              <w:rPr>
                <w:b/>
                <w:lang w:val="pt-BR"/>
              </w:rPr>
              <w:t>.1</w:t>
            </w:r>
            <w:r w:rsidRPr="00855376">
              <w:rPr>
                <w:lang w:val="pt-BR"/>
              </w:rPr>
              <w:t>:</w:t>
            </w:r>
            <w:r>
              <w:rPr>
                <w:lang w:val="pt-BR"/>
              </w:rPr>
              <w:t xml:space="preserve"> </w:t>
            </w:r>
            <w:r w:rsidRPr="0091583B">
              <w:rPr>
                <w:lang w:val="pt-BR"/>
              </w:rPr>
              <w:t xml:space="preserve">O presente </w:t>
            </w:r>
            <w:r w:rsidR="005822F5">
              <w:rPr>
                <w:lang w:val="pt-BR"/>
              </w:rPr>
              <w:t>acordo</w:t>
            </w:r>
            <w:r w:rsidRPr="0091583B">
              <w:rPr>
                <w:lang w:val="pt-BR"/>
              </w:rPr>
              <w:t xml:space="preserve"> terá validade a partir da data de assinatura pelas duas partes. Sua validade </w:t>
            </w:r>
            <w:r w:rsidRPr="0091583B">
              <w:rPr>
                <w:lang w:val="pt-BR"/>
              </w:rPr>
              <w:lastRenderedPageBreak/>
              <w:t xml:space="preserve">será estabelecida por uma duração de cinco anos e após isto, será prorrogado por recondução tácita, salvo </w:t>
            </w:r>
            <w:r>
              <w:rPr>
                <w:lang w:val="pt-BR"/>
              </w:rPr>
              <w:t>s</w:t>
            </w:r>
            <w:r w:rsidRPr="0091583B">
              <w:rPr>
                <w:lang w:val="pt-BR"/>
              </w:rPr>
              <w:t>olicitação de uma das duas partes, mediante um aviso</w:t>
            </w:r>
            <w:r>
              <w:rPr>
                <w:lang w:val="pt-BR"/>
              </w:rPr>
              <w:t xml:space="preserve"> prévio</w:t>
            </w:r>
            <w:r w:rsidRPr="0091583B">
              <w:rPr>
                <w:lang w:val="pt-BR"/>
              </w:rPr>
              <w:t xml:space="preserve"> de </w:t>
            </w:r>
            <w:r>
              <w:rPr>
                <w:lang w:val="pt-BR"/>
              </w:rPr>
              <w:t>seis</w:t>
            </w:r>
            <w:r w:rsidRPr="0091583B">
              <w:rPr>
                <w:lang w:val="pt-BR"/>
              </w:rPr>
              <w:t xml:space="preserve"> meses. Dentro de tal eventualidade, os compromissos firmados em relação aos responsáveis, assim como com os estudantes já participantes dos programas, deverão ser honrados.</w:t>
            </w:r>
          </w:p>
          <w:p w:rsidR="00E03B45" w:rsidRPr="00855376" w:rsidRDefault="00E03B45" w:rsidP="00E03B45">
            <w:pPr>
              <w:rPr>
                <w:b/>
                <w:lang w:val="pt-BR"/>
              </w:rPr>
            </w:pPr>
          </w:p>
        </w:tc>
        <w:tc>
          <w:tcPr>
            <w:tcW w:w="460" w:type="dxa"/>
          </w:tcPr>
          <w:p w:rsidR="00E03B45" w:rsidRPr="00855376" w:rsidRDefault="00E03B45" w:rsidP="00E03B45">
            <w:pPr>
              <w:rPr>
                <w:lang w:val="pt-BR"/>
              </w:rPr>
            </w:pPr>
          </w:p>
        </w:tc>
        <w:tc>
          <w:tcPr>
            <w:tcW w:w="4684" w:type="dxa"/>
          </w:tcPr>
          <w:p w:rsidR="00E03B45" w:rsidRPr="00855376" w:rsidRDefault="00E03B45" w:rsidP="00E03B45">
            <w:pPr>
              <w:rPr>
                <w:b/>
              </w:rPr>
            </w:pPr>
            <w:r w:rsidRPr="00855376">
              <w:rPr>
                <w:b/>
              </w:rPr>
              <w:t xml:space="preserve">Article </w:t>
            </w:r>
            <w:r w:rsidR="00F65E7F">
              <w:rPr>
                <w:b/>
              </w:rPr>
              <w:t>10</w:t>
            </w:r>
            <w:r w:rsidRPr="00855376">
              <w:rPr>
                <w:b/>
              </w:rPr>
              <w:t>. Durée de validité de l’avenant</w:t>
            </w:r>
          </w:p>
          <w:p w:rsidR="00E03B45" w:rsidRPr="0091583B" w:rsidRDefault="00E03B45" w:rsidP="00E03B45"/>
          <w:p w:rsidR="00E03B45" w:rsidRPr="0091583B" w:rsidRDefault="00E03B45" w:rsidP="00E03B45">
            <w:r w:rsidRPr="00855376">
              <w:rPr>
                <w:b/>
              </w:rPr>
              <w:t xml:space="preserve">Article </w:t>
            </w:r>
            <w:r w:rsidR="00F65E7F">
              <w:rPr>
                <w:b/>
              </w:rPr>
              <w:t>10</w:t>
            </w:r>
            <w:r>
              <w:rPr>
                <w:b/>
              </w:rPr>
              <w:t>.1</w:t>
            </w:r>
            <w:r>
              <w:t xml:space="preserve">: </w:t>
            </w:r>
            <w:r w:rsidRPr="0091583B">
              <w:t>Le présent a</w:t>
            </w:r>
            <w:r w:rsidR="005822F5">
              <w:t>ccord</w:t>
            </w:r>
            <w:bookmarkStart w:id="0" w:name="_GoBack"/>
            <w:bookmarkEnd w:id="0"/>
            <w:r w:rsidRPr="0091583B">
              <w:t xml:space="preserve"> prend effet sans délai à la date de la signature et par les deux parties. Sa validité </w:t>
            </w:r>
            <w:r w:rsidRPr="0091583B">
              <w:lastRenderedPageBreak/>
              <w:t xml:space="preserve">est établie pour une durée de cinq ans et sera ensuite prorogée par tacite reconduction, sauf à la demande d’une des deux parties, moyennant un préavis de </w:t>
            </w:r>
            <w:r w:rsidRPr="00EE3945">
              <w:t>six</w:t>
            </w:r>
            <w:r w:rsidRPr="0091583B">
              <w:t xml:space="preserve"> mois. Dans une telle éventualité, les engagements pris vis à vis des responsables comme des étudiants déjà participant aux programmes devront être honorés.</w:t>
            </w:r>
          </w:p>
          <w:p w:rsidR="00E03B45" w:rsidRPr="00855376" w:rsidRDefault="00E03B45" w:rsidP="00E03B45">
            <w:pPr>
              <w:rPr>
                <w:b/>
              </w:rPr>
            </w:pPr>
          </w:p>
        </w:tc>
      </w:tr>
      <w:tr w:rsidR="00E03B45" w:rsidRPr="00855376" w:rsidTr="00DF3337">
        <w:tc>
          <w:tcPr>
            <w:tcW w:w="4632" w:type="dxa"/>
          </w:tcPr>
          <w:p w:rsidR="00E03B45" w:rsidRPr="0040746D" w:rsidRDefault="00E03B45" w:rsidP="00E03B45">
            <w:pPr>
              <w:rPr>
                <w:lang w:val="pt-BR"/>
              </w:rPr>
            </w:pPr>
            <w:r w:rsidRPr="00855376">
              <w:rPr>
                <w:b/>
                <w:lang w:val="pt-BR"/>
              </w:rPr>
              <w:lastRenderedPageBreak/>
              <w:t xml:space="preserve">Artigo </w:t>
            </w:r>
            <w:r w:rsidR="00F65E7F">
              <w:rPr>
                <w:b/>
                <w:lang w:val="pt-BR"/>
              </w:rPr>
              <w:t>10</w:t>
            </w:r>
            <w:r>
              <w:rPr>
                <w:b/>
                <w:lang w:val="pt-BR"/>
              </w:rPr>
              <w:t>.2</w:t>
            </w:r>
            <w:r w:rsidRPr="00855376">
              <w:rPr>
                <w:lang w:val="pt-BR"/>
              </w:rPr>
              <w:t>:</w:t>
            </w:r>
            <w:r>
              <w:rPr>
                <w:lang w:val="pt-BR"/>
              </w:rPr>
              <w:t xml:space="preserve"> </w:t>
            </w:r>
            <w:r w:rsidRPr="0091583B">
              <w:rPr>
                <w:lang w:val="pt-BR"/>
              </w:rPr>
              <w:t xml:space="preserve">Os estudantes já envolvidos em um programa de intercâmbio entre o </w:t>
            </w:r>
            <w:r>
              <w:rPr>
                <w:lang w:val="pt-BR"/>
              </w:rPr>
              <w:t xml:space="preserve">EO </w:t>
            </w:r>
            <w:r w:rsidRPr="0091583B">
              <w:rPr>
                <w:lang w:val="pt-BR"/>
              </w:rPr>
              <w:t>e</w:t>
            </w:r>
            <w:r>
              <w:rPr>
                <w:lang w:val="pt-BR"/>
              </w:rPr>
              <w:t xml:space="preserve"> </w:t>
            </w:r>
            <w:r w:rsidRPr="0091583B">
              <w:rPr>
                <w:lang w:val="pt-BR"/>
              </w:rPr>
              <w:t xml:space="preserve">o EA na data </w:t>
            </w:r>
            <w:r>
              <w:rPr>
                <w:lang w:val="pt-BR"/>
              </w:rPr>
              <w:t>de início de efeito deste aditamento</w:t>
            </w:r>
            <w:r w:rsidRPr="0091583B">
              <w:rPr>
                <w:lang w:val="pt-BR"/>
              </w:rPr>
              <w:t xml:space="preserve"> pode</w:t>
            </w:r>
            <w:r>
              <w:rPr>
                <w:lang w:val="pt-BR"/>
              </w:rPr>
              <w:t>m</w:t>
            </w:r>
            <w:r w:rsidRPr="0091583B">
              <w:rPr>
                <w:lang w:val="pt-BR"/>
              </w:rPr>
              <w:t xml:space="preserve"> </w:t>
            </w:r>
            <w:r>
              <w:rPr>
                <w:lang w:val="pt-BR"/>
              </w:rPr>
              <w:t xml:space="preserve">se </w:t>
            </w:r>
            <w:r w:rsidRPr="0091583B">
              <w:rPr>
                <w:lang w:val="pt-BR"/>
              </w:rPr>
              <w:t xml:space="preserve">beneficiar das condições </w:t>
            </w:r>
            <w:r>
              <w:rPr>
                <w:lang w:val="pt-BR"/>
              </w:rPr>
              <w:t xml:space="preserve">nele </w:t>
            </w:r>
            <w:r w:rsidRPr="0091583B">
              <w:rPr>
                <w:lang w:val="pt-BR"/>
              </w:rPr>
              <w:t>estabelecidas.</w:t>
            </w:r>
          </w:p>
          <w:p w:rsidR="00360C62" w:rsidRDefault="00360C62" w:rsidP="00E03B45">
            <w:pPr>
              <w:rPr>
                <w:b/>
                <w:lang w:val="pt-BR"/>
              </w:rPr>
            </w:pPr>
          </w:p>
          <w:p w:rsidR="00360C62" w:rsidRPr="00360C62" w:rsidRDefault="00360C62" w:rsidP="00360C62">
            <w:pPr>
              <w:spacing w:after="240"/>
              <w:ind w:right="142"/>
              <w:jc w:val="left"/>
              <w:rPr>
                <w:b/>
                <w:bCs/>
                <w:szCs w:val="20"/>
                <w:lang w:val="pt-BR"/>
              </w:rPr>
            </w:pPr>
            <w:r w:rsidRPr="00360C62">
              <w:rPr>
                <w:b/>
                <w:bCs/>
                <w:szCs w:val="20"/>
                <w:lang w:val="pt-BR"/>
              </w:rPr>
              <w:t>Artigo 11: Propriedade Intelectual</w:t>
            </w:r>
          </w:p>
          <w:p w:rsidR="00360C62" w:rsidRPr="00360C62" w:rsidRDefault="00360C62" w:rsidP="00360C62">
            <w:pPr>
              <w:rPr>
                <w:b/>
                <w:lang w:val="pt-BR"/>
              </w:rPr>
            </w:pPr>
            <w:r w:rsidRPr="00360C62">
              <w:rPr>
                <w:b/>
                <w:szCs w:val="20"/>
                <w:lang w:val="pt-BR"/>
              </w:rPr>
              <w:t xml:space="preserve">Artigo </w:t>
            </w:r>
            <w:r>
              <w:rPr>
                <w:b/>
                <w:szCs w:val="20"/>
                <w:lang w:val="pt-BR"/>
              </w:rPr>
              <w:t>11</w:t>
            </w:r>
            <w:r w:rsidRPr="00360C62">
              <w:rPr>
                <w:b/>
                <w:szCs w:val="20"/>
                <w:lang w:val="pt-BR"/>
              </w:rPr>
              <w:t>.1</w:t>
            </w:r>
            <w:r w:rsidRPr="00360C62">
              <w:rPr>
                <w:szCs w:val="20"/>
                <w:lang w:val="pt-BR"/>
              </w:rPr>
              <w:t xml:space="preserve">: </w:t>
            </w:r>
            <w:r w:rsidRPr="00360C62">
              <w:rPr>
                <w:iCs/>
                <w:szCs w:val="20"/>
                <w:lang w:val="pt-BR"/>
              </w:rPr>
              <w:t>Caso as atividades deste acordo resultem em invenções, melhoramentos ou invenções passíveis de direitos de propriedade intelectual, as partes regulamentarão sua titularidade e gestão em termo específico a ser firmado oportunamente entre elas</w:t>
            </w:r>
            <w:r w:rsidRPr="00360C62">
              <w:rPr>
                <w:szCs w:val="20"/>
                <w:lang w:val="pt-BR"/>
              </w:rPr>
              <w:t>.</w:t>
            </w:r>
          </w:p>
        </w:tc>
        <w:tc>
          <w:tcPr>
            <w:tcW w:w="460" w:type="dxa"/>
          </w:tcPr>
          <w:p w:rsidR="00E03B45" w:rsidRPr="00855376" w:rsidRDefault="00E03B45" w:rsidP="00E03B45">
            <w:pPr>
              <w:rPr>
                <w:lang w:val="pt-BR"/>
              </w:rPr>
            </w:pPr>
          </w:p>
        </w:tc>
        <w:tc>
          <w:tcPr>
            <w:tcW w:w="4684" w:type="dxa"/>
          </w:tcPr>
          <w:p w:rsidR="00E03B45" w:rsidRPr="0040746D" w:rsidRDefault="00E03B45" w:rsidP="00E03B45">
            <w:r w:rsidRPr="00855376">
              <w:rPr>
                <w:b/>
              </w:rPr>
              <w:t xml:space="preserve">Article </w:t>
            </w:r>
            <w:r w:rsidR="00F65E7F">
              <w:rPr>
                <w:b/>
              </w:rPr>
              <w:t>10</w:t>
            </w:r>
            <w:r>
              <w:rPr>
                <w:b/>
              </w:rPr>
              <w:t>.2</w:t>
            </w:r>
            <w:r>
              <w:t xml:space="preserve">: </w:t>
            </w:r>
            <w:r w:rsidRPr="0091583B">
              <w:t>Les étudiants déjà engagés dans un programme d’échange entre l’EO et l’EA à la date de prise d’effet de cet avenant peuvent bénéficier des conditions prévues par cet avenant.</w:t>
            </w:r>
          </w:p>
          <w:p w:rsidR="00360C62" w:rsidRDefault="00360C62" w:rsidP="00E03B45">
            <w:pPr>
              <w:rPr>
                <w:b/>
              </w:rPr>
            </w:pPr>
          </w:p>
          <w:p w:rsidR="00360C62" w:rsidRPr="00A6685D" w:rsidRDefault="00360C62" w:rsidP="00360C62">
            <w:pPr>
              <w:spacing w:after="240"/>
              <w:ind w:right="142"/>
              <w:jc w:val="left"/>
              <w:rPr>
                <w:b/>
                <w:bCs/>
                <w:szCs w:val="20"/>
              </w:rPr>
            </w:pPr>
            <w:r>
              <w:rPr>
                <w:b/>
                <w:bCs/>
                <w:szCs w:val="20"/>
              </w:rPr>
              <w:t>Article 11</w:t>
            </w:r>
            <w:r w:rsidRPr="00A6685D">
              <w:rPr>
                <w:b/>
                <w:bCs/>
                <w:szCs w:val="20"/>
              </w:rPr>
              <w:t xml:space="preserve">: </w:t>
            </w:r>
            <w:r>
              <w:rPr>
                <w:b/>
              </w:rPr>
              <w:t>Propriété Intellectuelle</w:t>
            </w:r>
          </w:p>
          <w:p w:rsidR="00360C62" w:rsidRDefault="00360C62" w:rsidP="00360C62">
            <w:r>
              <w:rPr>
                <w:b/>
                <w:szCs w:val="20"/>
              </w:rPr>
              <w:t>Article 11</w:t>
            </w:r>
            <w:r w:rsidRPr="00A6685D">
              <w:rPr>
                <w:b/>
                <w:szCs w:val="20"/>
              </w:rPr>
              <w:t>.1</w:t>
            </w:r>
            <w:r w:rsidRPr="00A6685D">
              <w:rPr>
                <w:szCs w:val="20"/>
              </w:rPr>
              <w:t xml:space="preserve">: </w:t>
            </w:r>
            <w:r w:rsidRPr="00093E27">
              <w:rPr>
                <w:szCs w:val="20"/>
              </w:rPr>
              <w:t>Si les activités de cet accord aboutissent à des inventions, des améliorations ou des inventions susceptibles de droits de propriété intellectuelle, les parties réglementeront sa propriété et gestion dans un document spécifique à être signé en temps voulu entre eux</w:t>
            </w:r>
            <w:r w:rsidRPr="00A6685D">
              <w:t>.</w:t>
            </w:r>
          </w:p>
          <w:p w:rsidR="00360C62" w:rsidRPr="00855376" w:rsidRDefault="00360C62" w:rsidP="00E03B45">
            <w:pPr>
              <w:rPr>
                <w:b/>
              </w:rPr>
            </w:pPr>
          </w:p>
        </w:tc>
      </w:tr>
      <w:tr w:rsidR="00A75874" w:rsidTr="00DF3337">
        <w:tc>
          <w:tcPr>
            <w:tcW w:w="4632" w:type="dxa"/>
          </w:tcPr>
          <w:p w:rsidR="00360C62" w:rsidRPr="00360C62" w:rsidRDefault="00360C62" w:rsidP="00360C62">
            <w:pPr>
              <w:spacing w:after="240"/>
              <w:ind w:right="142"/>
              <w:jc w:val="left"/>
              <w:rPr>
                <w:b/>
                <w:bCs/>
                <w:szCs w:val="20"/>
                <w:lang w:val="pt-BR"/>
              </w:rPr>
            </w:pPr>
            <w:r w:rsidRPr="00360C62">
              <w:rPr>
                <w:b/>
                <w:bCs/>
                <w:szCs w:val="20"/>
                <w:lang w:val="pt-BR"/>
              </w:rPr>
              <w:t>Artigo 1</w:t>
            </w:r>
            <w:r>
              <w:rPr>
                <w:b/>
                <w:bCs/>
                <w:szCs w:val="20"/>
                <w:lang w:val="pt-BR"/>
              </w:rPr>
              <w:t>2</w:t>
            </w:r>
            <w:r w:rsidRPr="00360C62">
              <w:rPr>
                <w:b/>
                <w:bCs/>
                <w:szCs w:val="20"/>
                <w:lang w:val="pt-BR"/>
              </w:rPr>
              <w:t>: Resolução De Controvérsias</w:t>
            </w:r>
          </w:p>
          <w:p w:rsidR="00A75874" w:rsidRDefault="00360C62" w:rsidP="00360C62">
            <w:pPr>
              <w:rPr>
                <w:szCs w:val="20"/>
                <w:lang w:val="pt-BR"/>
              </w:rPr>
            </w:pPr>
            <w:r w:rsidRPr="00360C62">
              <w:rPr>
                <w:b/>
                <w:szCs w:val="20"/>
                <w:lang w:val="pt-BR"/>
              </w:rPr>
              <w:t>Artigo 1</w:t>
            </w:r>
            <w:r>
              <w:rPr>
                <w:b/>
                <w:szCs w:val="20"/>
                <w:lang w:val="pt-BR"/>
              </w:rPr>
              <w:t>2</w:t>
            </w:r>
            <w:r w:rsidRPr="00360C62">
              <w:rPr>
                <w:b/>
                <w:szCs w:val="20"/>
                <w:lang w:val="pt-BR"/>
              </w:rPr>
              <w:t>.1</w:t>
            </w:r>
            <w:r w:rsidRPr="00360C62">
              <w:rPr>
                <w:szCs w:val="20"/>
                <w:lang w:val="pt-BR"/>
              </w:rPr>
              <w:t>: Este é um acordo para a cooperação entre as instituições na busca dos objetivos aqui estabelecidos. Nada neste acordo deve ser interpretado como a criação de uma relação jurídica entre as instituições.</w:t>
            </w:r>
          </w:p>
          <w:p w:rsidR="00360C62" w:rsidRDefault="00360C62" w:rsidP="00360C62">
            <w:pPr>
              <w:rPr>
                <w:szCs w:val="20"/>
                <w:lang w:val="pt-BR"/>
              </w:rPr>
            </w:pPr>
          </w:p>
          <w:p w:rsidR="00360C62" w:rsidRPr="00360C62" w:rsidRDefault="00360C62" w:rsidP="00360C62">
            <w:pPr>
              <w:rPr>
                <w:lang w:val="pt-BR"/>
              </w:rPr>
            </w:pPr>
            <w:r w:rsidRPr="00360C62">
              <w:rPr>
                <w:b/>
                <w:szCs w:val="20"/>
                <w:lang w:val="pt-BR"/>
              </w:rPr>
              <w:t>Artigo 1</w:t>
            </w:r>
            <w:r>
              <w:rPr>
                <w:b/>
                <w:szCs w:val="20"/>
                <w:lang w:val="pt-BR"/>
              </w:rPr>
              <w:t>2</w:t>
            </w:r>
            <w:r w:rsidRPr="00360C62">
              <w:rPr>
                <w:b/>
                <w:szCs w:val="20"/>
                <w:lang w:val="pt-BR"/>
              </w:rPr>
              <w:t>.2</w:t>
            </w:r>
            <w:r w:rsidRPr="00360C62">
              <w:rPr>
                <w:szCs w:val="20"/>
                <w:lang w:val="pt-BR"/>
              </w:rPr>
              <w:t>: Para dirimir dúvidas que possam ser suscitadas na execução e interpretação do presente convênio, as partes envidarão esforços na busca de uma solução consensual. Não sendo possível, as convenentes indicarão, de comum acordo, um terceiro, pessoa física, para atuar como mediador</w:t>
            </w:r>
            <w:r w:rsidRPr="00360C62">
              <w:rPr>
                <w:noProof/>
                <w:szCs w:val="20"/>
                <w:lang w:val="pt-BR"/>
              </w:rPr>
              <w:t>.</w:t>
            </w:r>
          </w:p>
          <w:p w:rsidR="00D9074C" w:rsidRPr="00360C62" w:rsidRDefault="00D9074C" w:rsidP="00601025">
            <w:pPr>
              <w:rPr>
                <w:lang w:val="pt-BR"/>
              </w:rPr>
            </w:pPr>
          </w:p>
        </w:tc>
        <w:tc>
          <w:tcPr>
            <w:tcW w:w="460" w:type="dxa"/>
          </w:tcPr>
          <w:p w:rsidR="00A75874" w:rsidRPr="00360C62" w:rsidRDefault="00A75874" w:rsidP="00601025">
            <w:pPr>
              <w:rPr>
                <w:lang w:val="pt-BR"/>
              </w:rPr>
            </w:pPr>
          </w:p>
        </w:tc>
        <w:tc>
          <w:tcPr>
            <w:tcW w:w="4684" w:type="dxa"/>
          </w:tcPr>
          <w:p w:rsidR="00360C62" w:rsidRPr="00360C62" w:rsidRDefault="00360C62" w:rsidP="00360C62">
            <w:pPr>
              <w:rPr>
                <w:b/>
              </w:rPr>
            </w:pPr>
            <w:r w:rsidRPr="00360C62">
              <w:rPr>
                <w:b/>
              </w:rPr>
              <w:t>Article 1</w:t>
            </w:r>
            <w:r>
              <w:rPr>
                <w:b/>
              </w:rPr>
              <w:t>2</w:t>
            </w:r>
            <w:r w:rsidRPr="00360C62">
              <w:rPr>
                <w:b/>
              </w:rPr>
              <w:t>: Règlement Des Différends</w:t>
            </w:r>
          </w:p>
          <w:p w:rsidR="00360C62" w:rsidRDefault="00360C62" w:rsidP="00360C62"/>
          <w:p w:rsidR="00A75874" w:rsidRDefault="00360C62" w:rsidP="00360C62">
            <w:r w:rsidRPr="00360C62">
              <w:rPr>
                <w:b/>
              </w:rPr>
              <w:t>Article 1</w:t>
            </w:r>
            <w:r>
              <w:rPr>
                <w:b/>
              </w:rPr>
              <w:t>2</w:t>
            </w:r>
            <w:r w:rsidRPr="00360C62">
              <w:rPr>
                <w:b/>
              </w:rPr>
              <w:t>.1</w:t>
            </w:r>
            <w:r>
              <w:t>: Cette convention est un accord pour la coopération entre les institutions dans la poursuite des objectifs ici énoncés. Rien dans la présente convention ne doit être interprété comme créant une relation juridique entre les institutions.</w:t>
            </w:r>
          </w:p>
          <w:p w:rsidR="00360C62" w:rsidRDefault="00360C62" w:rsidP="00360C62"/>
          <w:p w:rsidR="00360C62" w:rsidRDefault="00360C62" w:rsidP="00360C62">
            <w:r>
              <w:rPr>
                <w:b/>
                <w:szCs w:val="20"/>
              </w:rPr>
              <w:t>Article 12</w:t>
            </w:r>
            <w:r w:rsidRPr="00A6685D">
              <w:rPr>
                <w:b/>
                <w:szCs w:val="20"/>
              </w:rPr>
              <w:t>.2</w:t>
            </w:r>
            <w:r w:rsidRPr="00A6685D">
              <w:rPr>
                <w:szCs w:val="20"/>
              </w:rPr>
              <w:t xml:space="preserve">: </w:t>
            </w:r>
            <w:r w:rsidRPr="00093E27">
              <w:rPr>
                <w:szCs w:val="20"/>
              </w:rPr>
              <w:t>Pour résoudre les problèmes qui pourront éventuellement surgir dans la mise en œuvre et l’interprétation de la présente convention, les parties s’efforceront de trouver une solution consensuelle. Les parties</w:t>
            </w:r>
            <w:r>
              <w:rPr>
                <w:szCs w:val="20"/>
              </w:rPr>
              <w:t xml:space="preserve"> </w:t>
            </w:r>
            <w:r w:rsidRPr="00093E27">
              <w:rPr>
                <w:szCs w:val="20"/>
              </w:rPr>
              <w:t>désigneront une personne physique comme médiateur, si certains désaccords ne peuvent être réglés</w:t>
            </w:r>
            <w:r w:rsidRPr="00A6685D">
              <w:t>.</w:t>
            </w:r>
          </w:p>
          <w:p w:rsidR="00360C62" w:rsidRDefault="00360C62" w:rsidP="00360C62"/>
        </w:tc>
      </w:tr>
      <w:tr w:rsidR="00E03B45" w:rsidRPr="00272258" w:rsidTr="00DF3337">
        <w:tc>
          <w:tcPr>
            <w:tcW w:w="4632" w:type="dxa"/>
          </w:tcPr>
          <w:p w:rsidR="00E03B45" w:rsidRDefault="00E03B45" w:rsidP="00E03B45">
            <w:pPr>
              <w:rPr>
                <w:lang w:val="pt-BR"/>
              </w:rPr>
            </w:pPr>
            <w:r w:rsidRPr="0091583B">
              <w:rPr>
                <w:lang w:val="pt-BR"/>
              </w:rPr>
              <w:t xml:space="preserve">Este </w:t>
            </w:r>
            <w:r>
              <w:rPr>
                <w:lang w:val="pt-BR"/>
              </w:rPr>
              <w:t>aditamento</w:t>
            </w:r>
            <w:r w:rsidRPr="0091583B">
              <w:rPr>
                <w:lang w:val="pt-BR"/>
              </w:rPr>
              <w:t xml:space="preserve"> está redigido em Francês e em Português, em duas cópias, com conteúdo idêntico</w:t>
            </w:r>
            <w:r>
              <w:rPr>
                <w:lang w:val="pt-BR"/>
              </w:rPr>
              <w:t xml:space="preserve"> em cada idioma</w:t>
            </w:r>
            <w:r w:rsidRPr="0091583B">
              <w:rPr>
                <w:lang w:val="pt-BR"/>
              </w:rPr>
              <w:t>.</w:t>
            </w:r>
          </w:p>
          <w:p w:rsidR="00D9074C" w:rsidRDefault="00D9074C" w:rsidP="00E03B45">
            <w:pPr>
              <w:rPr>
                <w:b/>
                <w:sz w:val="22"/>
                <w:lang w:val="pt-BR"/>
              </w:rPr>
            </w:pPr>
          </w:p>
          <w:p w:rsidR="00D97548" w:rsidRDefault="00D97548" w:rsidP="00E03B45">
            <w:pPr>
              <w:rPr>
                <w:b/>
                <w:sz w:val="22"/>
                <w:lang w:val="pt-BR"/>
              </w:rPr>
            </w:pPr>
          </w:p>
          <w:p w:rsidR="00D97548" w:rsidRPr="00394B3D" w:rsidRDefault="00D97548" w:rsidP="00E03B45">
            <w:pPr>
              <w:rPr>
                <w:b/>
                <w:sz w:val="22"/>
                <w:lang w:val="pt-BR"/>
              </w:rPr>
            </w:pPr>
          </w:p>
        </w:tc>
        <w:tc>
          <w:tcPr>
            <w:tcW w:w="460" w:type="dxa"/>
          </w:tcPr>
          <w:p w:rsidR="00E03B45" w:rsidRPr="00FC26DB" w:rsidRDefault="00E03B45" w:rsidP="00E03B45">
            <w:pPr>
              <w:rPr>
                <w:lang w:val="pt-BR"/>
              </w:rPr>
            </w:pPr>
          </w:p>
        </w:tc>
        <w:tc>
          <w:tcPr>
            <w:tcW w:w="4684" w:type="dxa"/>
          </w:tcPr>
          <w:p w:rsidR="00E03B45" w:rsidRPr="00394B3D" w:rsidRDefault="00E03B45" w:rsidP="00E03B45">
            <w:pPr>
              <w:rPr>
                <w:b/>
                <w:sz w:val="22"/>
              </w:rPr>
            </w:pPr>
            <w:r w:rsidRPr="0091583B">
              <w:t xml:space="preserve">Cet </w:t>
            </w:r>
            <w:r>
              <w:t>avenant</w:t>
            </w:r>
            <w:r w:rsidRPr="0091583B">
              <w:t xml:space="preserve"> est rédigé en français et en portugais, avec 2 copies, le contenu étant identique dans chaque langue.</w:t>
            </w:r>
          </w:p>
        </w:tc>
      </w:tr>
      <w:tr w:rsidR="00E03B45" w:rsidRPr="00272258" w:rsidTr="00DF3337">
        <w:tc>
          <w:tcPr>
            <w:tcW w:w="4632" w:type="dxa"/>
          </w:tcPr>
          <w:p w:rsidR="00E03B45" w:rsidRPr="00267D3D" w:rsidRDefault="00E03B45" w:rsidP="00E03B45">
            <w:pPr>
              <w:pStyle w:val="Ttulo"/>
              <w:spacing w:before="0"/>
              <w:rPr>
                <w:rFonts w:asciiTheme="minorHAnsi" w:hAnsiTheme="minorHAnsi"/>
                <w:b/>
                <w:color w:val="auto"/>
                <w:sz w:val="20"/>
                <w:szCs w:val="20"/>
              </w:rPr>
            </w:pPr>
            <w:r w:rsidRPr="00267D3D">
              <w:rPr>
                <w:rFonts w:asciiTheme="minorHAnsi" w:hAnsiTheme="minorHAnsi"/>
                <w:b/>
                <w:color w:val="auto"/>
                <w:sz w:val="20"/>
                <w:szCs w:val="20"/>
              </w:rPr>
              <w:t>PELA USP</w:t>
            </w:r>
          </w:p>
          <w:p w:rsidR="00E03B45" w:rsidRPr="00267D3D" w:rsidRDefault="00E03B45" w:rsidP="00E03B45">
            <w:pPr>
              <w:jc w:val="center"/>
              <w:rPr>
                <w:szCs w:val="20"/>
                <w:lang w:val="pt-BR" w:eastAsia="en-US" w:bidi="en-US"/>
              </w:rPr>
            </w:pPr>
          </w:p>
          <w:p w:rsidR="00E03B45" w:rsidRPr="00267D3D" w:rsidRDefault="00E03B45" w:rsidP="00E03B45">
            <w:pPr>
              <w:jc w:val="center"/>
              <w:rPr>
                <w:szCs w:val="20"/>
                <w:lang w:val="pt-BR" w:eastAsia="en-US" w:bidi="en-US"/>
              </w:rPr>
            </w:pPr>
          </w:p>
          <w:p w:rsidR="00E03B45" w:rsidRPr="00267D3D" w:rsidRDefault="00E03B45" w:rsidP="00E03B45">
            <w:pPr>
              <w:pStyle w:val="Ttulo"/>
              <w:spacing w:before="0"/>
              <w:rPr>
                <w:rFonts w:asciiTheme="minorHAnsi" w:hAnsiTheme="minorHAnsi"/>
                <w:b/>
                <w:color w:val="auto"/>
                <w:sz w:val="20"/>
                <w:szCs w:val="20"/>
              </w:rPr>
            </w:pPr>
            <w:r w:rsidRPr="00267D3D">
              <w:rPr>
                <w:rFonts w:asciiTheme="minorHAnsi" w:hAnsiTheme="minorHAnsi"/>
                <w:b/>
                <w:color w:val="auto"/>
                <w:sz w:val="20"/>
                <w:szCs w:val="20"/>
              </w:rPr>
              <w:t>Prof. Vahan Agopyan</w:t>
            </w:r>
          </w:p>
          <w:p w:rsidR="00E03B45" w:rsidRPr="00267D3D" w:rsidRDefault="00E03B45" w:rsidP="00E03B45">
            <w:pPr>
              <w:pStyle w:val="Ttulo"/>
              <w:spacing w:before="0"/>
              <w:rPr>
                <w:rFonts w:asciiTheme="minorHAnsi" w:hAnsiTheme="minorHAnsi"/>
                <w:color w:val="auto"/>
                <w:sz w:val="20"/>
                <w:szCs w:val="20"/>
              </w:rPr>
            </w:pPr>
            <w:r w:rsidRPr="00267D3D">
              <w:rPr>
                <w:rFonts w:asciiTheme="minorHAnsi" w:hAnsiTheme="minorHAnsi"/>
                <w:color w:val="auto"/>
                <w:sz w:val="20"/>
                <w:szCs w:val="20"/>
              </w:rPr>
              <w:t>Reitor</w:t>
            </w:r>
          </w:p>
          <w:p w:rsidR="001130B1" w:rsidRDefault="001130B1" w:rsidP="001A67EC">
            <w:pPr>
              <w:pStyle w:val="Ttulo"/>
              <w:spacing w:before="0"/>
              <w:jc w:val="both"/>
              <w:rPr>
                <w:rFonts w:asciiTheme="minorHAnsi" w:hAnsiTheme="minorHAnsi"/>
                <w:b/>
                <w:color w:val="auto"/>
                <w:sz w:val="20"/>
                <w:szCs w:val="20"/>
              </w:rPr>
            </w:pPr>
          </w:p>
          <w:p w:rsidR="00E03B45" w:rsidRPr="00267D3D" w:rsidRDefault="00E03B45" w:rsidP="00D9074C">
            <w:pPr>
              <w:pStyle w:val="Ttulo"/>
              <w:spacing w:before="0"/>
              <w:rPr>
                <w:b/>
              </w:rPr>
            </w:pPr>
          </w:p>
        </w:tc>
        <w:tc>
          <w:tcPr>
            <w:tcW w:w="460" w:type="dxa"/>
          </w:tcPr>
          <w:p w:rsidR="00E03B45" w:rsidRPr="00267D3D" w:rsidRDefault="00E03B45" w:rsidP="00E03B45">
            <w:pPr>
              <w:rPr>
                <w:szCs w:val="20"/>
                <w:lang w:val="pt-BR"/>
              </w:rPr>
            </w:pPr>
          </w:p>
        </w:tc>
        <w:tc>
          <w:tcPr>
            <w:tcW w:w="4684" w:type="dxa"/>
          </w:tcPr>
          <w:p w:rsidR="00E03B45" w:rsidRPr="00963D48" w:rsidRDefault="00E03B45" w:rsidP="00E03B45">
            <w:pPr>
              <w:pStyle w:val="Ttulo"/>
              <w:spacing w:before="0"/>
              <w:rPr>
                <w:rFonts w:asciiTheme="minorHAnsi" w:hAnsiTheme="minorHAnsi"/>
                <w:b/>
                <w:color w:val="auto"/>
                <w:sz w:val="20"/>
                <w:szCs w:val="20"/>
                <w:lang w:val="fr-FR"/>
              </w:rPr>
            </w:pPr>
            <w:r w:rsidRPr="00963D48">
              <w:rPr>
                <w:rFonts w:asciiTheme="minorHAnsi" w:hAnsiTheme="minorHAnsi"/>
                <w:b/>
                <w:color w:val="auto"/>
                <w:sz w:val="20"/>
                <w:szCs w:val="20"/>
                <w:lang w:val="fr-FR"/>
              </w:rPr>
              <w:t xml:space="preserve">POUR </w:t>
            </w:r>
            <w:r w:rsidR="00D37A37">
              <w:rPr>
                <w:rFonts w:asciiTheme="minorHAnsi" w:hAnsiTheme="minorHAnsi"/>
                <w:b/>
                <w:color w:val="auto"/>
                <w:sz w:val="20"/>
                <w:szCs w:val="20"/>
                <w:lang w:val="fr-FR"/>
              </w:rPr>
              <w:t xml:space="preserve">TELECOM </w:t>
            </w:r>
            <w:r w:rsidR="000A2A07">
              <w:rPr>
                <w:rFonts w:asciiTheme="minorHAnsi" w:hAnsiTheme="minorHAnsi"/>
                <w:b/>
                <w:color w:val="auto"/>
                <w:sz w:val="20"/>
                <w:szCs w:val="20"/>
                <w:lang w:val="fr-FR"/>
              </w:rPr>
              <w:t>PARIS</w:t>
            </w:r>
          </w:p>
          <w:p w:rsidR="00E03B45" w:rsidRPr="00CD3EAF" w:rsidRDefault="00E03B45" w:rsidP="00E03B45">
            <w:pPr>
              <w:jc w:val="center"/>
              <w:rPr>
                <w:szCs w:val="20"/>
                <w:lang w:eastAsia="en-US" w:bidi="en-US"/>
              </w:rPr>
            </w:pPr>
          </w:p>
          <w:p w:rsidR="00E03B45" w:rsidRPr="00CD3EAF" w:rsidRDefault="00E03B45" w:rsidP="00E03B45">
            <w:pPr>
              <w:jc w:val="center"/>
              <w:rPr>
                <w:szCs w:val="20"/>
                <w:lang w:eastAsia="en-US" w:bidi="en-US"/>
              </w:rPr>
            </w:pPr>
          </w:p>
          <w:p w:rsidR="00E03B45" w:rsidRPr="00963D48" w:rsidRDefault="00D37A37" w:rsidP="00E03B45">
            <w:pPr>
              <w:pStyle w:val="Ttulo"/>
              <w:spacing w:before="0"/>
              <w:rPr>
                <w:rFonts w:asciiTheme="minorHAnsi" w:hAnsiTheme="minorHAnsi"/>
                <w:b/>
                <w:color w:val="auto"/>
                <w:sz w:val="20"/>
                <w:szCs w:val="20"/>
                <w:lang w:val="fr-FR"/>
              </w:rPr>
            </w:pPr>
            <w:r>
              <w:rPr>
                <w:rFonts w:asciiTheme="minorHAnsi" w:hAnsiTheme="minorHAnsi"/>
                <w:b/>
                <w:color w:val="auto"/>
                <w:sz w:val="20"/>
                <w:szCs w:val="20"/>
                <w:lang w:val="fr-FR"/>
              </w:rPr>
              <w:t>Yves Poilane</w:t>
            </w:r>
          </w:p>
          <w:p w:rsidR="00E03B45" w:rsidRPr="00963D48" w:rsidRDefault="00D37A37" w:rsidP="00E03B45">
            <w:pPr>
              <w:jc w:val="center"/>
              <w:rPr>
                <w:szCs w:val="20"/>
                <w:lang w:eastAsia="en-US" w:bidi="en-US"/>
              </w:rPr>
            </w:pPr>
            <w:r>
              <w:rPr>
                <w:szCs w:val="20"/>
                <w:lang w:eastAsia="en-US" w:bidi="en-US"/>
              </w:rPr>
              <w:t>Directeur</w:t>
            </w:r>
          </w:p>
          <w:p w:rsidR="00E03B45" w:rsidRPr="00963D48" w:rsidRDefault="00E03B45" w:rsidP="00E03B45">
            <w:pPr>
              <w:rPr>
                <w:b/>
              </w:rPr>
            </w:pPr>
          </w:p>
        </w:tc>
      </w:tr>
      <w:tr w:rsidR="00E03B45" w:rsidRPr="00272258" w:rsidTr="00DF3337">
        <w:tc>
          <w:tcPr>
            <w:tcW w:w="4632" w:type="dxa"/>
          </w:tcPr>
          <w:p w:rsidR="00E03B45" w:rsidRDefault="00E03B45" w:rsidP="00E03B45">
            <w:pPr>
              <w:jc w:val="center"/>
              <w:rPr>
                <w:b/>
                <w:szCs w:val="20"/>
              </w:rPr>
            </w:pPr>
          </w:p>
          <w:p w:rsidR="00E03B45" w:rsidRPr="00963D48" w:rsidRDefault="00E03B45" w:rsidP="00E03B45">
            <w:pPr>
              <w:jc w:val="center"/>
            </w:pPr>
            <w:r w:rsidRPr="00963D48">
              <w:rPr>
                <w:b/>
                <w:szCs w:val="20"/>
              </w:rPr>
              <w:t>DATA: ____/____/____</w:t>
            </w:r>
          </w:p>
          <w:p w:rsidR="00E03B45" w:rsidRPr="00963D48" w:rsidRDefault="00E03B45" w:rsidP="00E03B45">
            <w:pPr>
              <w:pStyle w:val="Corpodetexto2"/>
              <w:spacing w:before="0" w:after="0"/>
              <w:rPr>
                <w:rFonts w:ascii="Arial Narrow" w:hAnsi="Arial Narrow"/>
                <w:b/>
              </w:rPr>
            </w:pPr>
          </w:p>
        </w:tc>
        <w:tc>
          <w:tcPr>
            <w:tcW w:w="460" w:type="dxa"/>
          </w:tcPr>
          <w:p w:rsidR="00E03B45" w:rsidRPr="00963D48" w:rsidRDefault="00E03B45" w:rsidP="00E03B45">
            <w:pPr>
              <w:rPr>
                <w:szCs w:val="20"/>
              </w:rPr>
            </w:pPr>
          </w:p>
        </w:tc>
        <w:tc>
          <w:tcPr>
            <w:tcW w:w="4684" w:type="dxa"/>
          </w:tcPr>
          <w:p w:rsidR="00E03B45" w:rsidRDefault="00E03B45" w:rsidP="00E03B45">
            <w:pPr>
              <w:jc w:val="center"/>
              <w:rPr>
                <w:b/>
                <w:szCs w:val="20"/>
              </w:rPr>
            </w:pPr>
          </w:p>
          <w:p w:rsidR="00E03B45" w:rsidRPr="00963D48" w:rsidRDefault="00E03B45" w:rsidP="00E03B45">
            <w:pPr>
              <w:jc w:val="center"/>
            </w:pPr>
            <w:r>
              <w:rPr>
                <w:b/>
                <w:szCs w:val="20"/>
              </w:rPr>
              <w:t>DATE</w:t>
            </w:r>
            <w:r w:rsidRPr="00963D48">
              <w:rPr>
                <w:b/>
                <w:szCs w:val="20"/>
              </w:rPr>
              <w:t>: ____/____/____</w:t>
            </w:r>
          </w:p>
          <w:p w:rsidR="00E03B45" w:rsidRPr="00963D48" w:rsidRDefault="00E03B45" w:rsidP="00E03B45">
            <w:pPr>
              <w:pStyle w:val="Ttulo"/>
              <w:spacing w:before="0"/>
              <w:jc w:val="both"/>
              <w:rPr>
                <w:rFonts w:ascii="Calibri" w:hAnsi="Calibri"/>
                <w:b/>
                <w:color w:val="auto"/>
                <w:sz w:val="20"/>
                <w:szCs w:val="20"/>
              </w:rPr>
            </w:pPr>
          </w:p>
        </w:tc>
      </w:tr>
    </w:tbl>
    <w:p w:rsidR="0058797F" w:rsidRDefault="0058797F" w:rsidP="0091583B"/>
    <w:p w:rsidR="0058797F" w:rsidRDefault="0058797F">
      <w:pPr>
        <w:jc w:val="left"/>
      </w:pPr>
    </w:p>
    <w:p w:rsidR="00025CD9" w:rsidRDefault="00025CD9" w:rsidP="0091583B">
      <w:pPr>
        <w:rPr>
          <w:lang w:val="pt-BR"/>
        </w:rPr>
      </w:pPr>
    </w:p>
    <w:tbl>
      <w:tblPr>
        <w:tblStyle w:val="Tabelacomgrade"/>
        <w:tblW w:w="9640" w:type="dxa"/>
        <w:tblInd w:w="-34" w:type="dxa"/>
        <w:tblLook w:val="04A0" w:firstRow="1" w:lastRow="0" w:firstColumn="1" w:lastColumn="0" w:noHBand="0" w:noVBand="1"/>
      </w:tblPr>
      <w:tblGrid>
        <w:gridCol w:w="4820"/>
        <w:gridCol w:w="4820"/>
      </w:tblGrid>
      <w:tr w:rsidR="005D1CFA" w:rsidRPr="005D1CFA" w:rsidTr="005D1CFA">
        <w:tc>
          <w:tcPr>
            <w:tcW w:w="4820" w:type="dxa"/>
            <w:tcBorders>
              <w:top w:val="dashSmallGap" w:sz="4" w:space="0" w:color="auto"/>
              <w:left w:val="dashSmallGap" w:sz="4" w:space="0" w:color="auto"/>
              <w:bottom w:val="dashSmallGap" w:sz="4" w:space="0" w:color="auto"/>
              <w:right w:val="dashSmallGap" w:sz="4" w:space="0" w:color="auto"/>
            </w:tcBorders>
          </w:tcPr>
          <w:p w:rsidR="005D1CFA" w:rsidRDefault="005D1CFA" w:rsidP="00025CD9">
            <w:pPr>
              <w:pStyle w:val="Corpodetexto2"/>
              <w:spacing w:before="0" w:after="0"/>
              <w:rPr>
                <w:rFonts w:ascii="Arial Narrow" w:hAnsi="Arial Narrow"/>
                <w:b/>
              </w:rPr>
            </w:pPr>
            <w:r w:rsidRPr="00F10331">
              <w:rPr>
                <w:rFonts w:ascii="Arial Narrow" w:hAnsi="Arial Narrow"/>
                <w:b/>
              </w:rPr>
              <w:t>AN</w:t>
            </w:r>
            <w:r>
              <w:rPr>
                <w:rFonts w:ascii="Arial Narrow" w:hAnsi="Arial Narrow"/>
                <w:b/>
              </w:rPr>
              <w:t>EXO – QUADRO DE PERCURSO DOS ESTUDANTES</w:t>
            </w:r>
          </w:p>
          <w:p w:rsidR="005D1CFA" w:rsidRPr="005D1CFA" w:rsidRDefault="005D1CFA" w:rsidP="00025CD9">
            <w:pPr>
              <w:pStyle w:val="Corpodetexto2"/>
              <w:spacing w:before="0" w:after="0"/>
              <w:rPr>
                <w:rFonts w:ascii="Arial Narrow" w:hAnsi="Arial Narrow"/>
                <w:b/>
              </w:rPr>
            </w:pPr>
          </w:p>
        </w:tc>
        <w:tc>
          <w:tcPr>
            <w:tcW w:w="4820" w:type="dxa"/>
            <w:tcBorders>
              <w:top w:val="dashSmallGap" w:sz="4" w:space="0" w:color="auto"/>
              <w:left w:val="dashSmallGap" w:sz="4" w:space="0" w:color="auto"/>
              <w:bottom w:val="dashSmallGap" w:sz="4" w:space="0" w:color="auto"/>
              <w:right w:val="dashSmallGap" w:sz="4" w:space="0" w:color="auto"/>
            </w:tcBorders>
          </w:tcPr>
          <w:p w:rsidR="005D1CFA" w:rsidRPr="002B3366" w:rsidRDefault="005D1CFA" w:rsidP="00025CD9">
            <w:pPr>
              <w:pStyle w:val="Corpodetexto2"/>
              <w:spacing w:before="0" w:after="0"/>
              <w:rPr>
                <w:rFonts w:ascii="Arial Narrow" w:hAnsi="Arial Narrow"/>
                <w:b/>
                <w:lang w:val="fr-FR"/>
              </w:rPr>
            </w:pPr>
            <w:r w:rsidRPr="002B3366">
              <w:rPr>
                <w:rFonts w:ascii="Arial Narrow" w:hAnsi="Arial Narrow"/>
                <w:b/>
                <w:lang w:val="fr-FR"/>
              </w:rPr>
              <w:t>AN</w:t>
            </w:r>
            <w:r w:rsidR="00DF3337">
              <w:rPr>
                <w:rFonts w:ascii="Arial Narrow" w:hAnsi="Arial Narrow"/>
                <w:b/>
                <w:lang w:val="fr-FR"/>
              </w:rPr>
              <w:t>NE</w:t>
            </w:r>
            <w:r w:rsidRPr="002B3366">
              <w:rPr>
                <w:rFonts w:ascii="Arial Narrow" w:hAnsi="Arial Narrow"/>
                <w:b/>
                <w:lang w:val="fr-FR"/>
              </w:rPr>
              <w:t>XE – CADRE DE PARCOUR</w:t>
            </w:r>
            <w:r w:rsidR="00286014">
              <w:rPr>
                <w:rFonts w:ascii="Arial Narrow" w:hAnsi="Arial Narrow"/>
                <w:b/>
                <w:lang w:val="fr-FR"/>
              </w:rPr>
              <w:t>S</w:t>
            </w:r>
            <w:r w:rsidRPr="002B3366">
              <w:rPr>
                <w:rFonts w:ascii="Arial Narrow" w:hAnsi="Arial Narrow"/>
                <w:b/>
                <w:lang w:val="fr-FR"/>
              </w:rPr>
              <w:t xml:space="preserve"> DES </w:t>
            </w:r>
            <w:r>
              <w:rPr>
                <w:rFonts w:ascii="Arial Narrow" w:hAnsi="Arial Narrow"/>
                <w:b/>
                <w:lang w:val="fr-FR"/>
              </w:rPr>
              <w:t>ETUDIANTS</w:t>
            </w:r>
          </w:p>
          <w:p w:rsidR="005D1CFA" w:rsidRPr="005D1CFA" w:rsidRDefault="005D1CFA" w:rsidP="00025CD9">
            <w:pPr>
              <w:pStyle w:val="Corpodetexto2"/>
              <w:spacing w:before="0" w:after="0"/>
              <w:rPr>
                <w:rFonts w:ascii="Arial Narrow" w:hAnsi="Arial Narrow"/>
                <w:b/>
                <w:lang w:val="fr-FR"/>
              </w:rPr>
            </w:pPr>
          </w:p>
        </w:tc>
      </w:tr>
      <w:tr w:rsidR="005D1CFA" w:rsidRPr="005D1CFA" w:rsidTr="005D1CFA">
        <w:tc>
          <w:tcPr>
            <w:tcW w:w="4820" w:type="dxa"/>
            <w:tcBorders>
              <w:top w:val="dashSmallGap" w:sz="4" w:space="0" w:color="auto"/>
              <w:left w:val="dashSmallGap" w:sz="4" w:space="0" w:color="auto"/>
              <w:bottom w:val="dashSmallGap" w:sz="4" w:space="0" w:color="auto"/>
              <w:right w:val="dashSmallGap" w:sz="4" w:space="0" w:color="auto"/>
            </w:tcBorders>
          </w:tcPr>
          <w:p w:rsidR="005D1CFA" w:rsidRPr="005D1CFA" w:rsidRDefault="005D1CFA" w:rsidP="005D1CFA">
            <w:pPr>
              <w:rPr>
                <w:b/>
                <w:lang w:val="pt-BR"/>
              </w:rPr>
            </w:pPr>
            <w:r w:rsidRPr="005D1CFA">
              <w:rPr>
                <w:b/>
                <w:lang w:val="pt-BR"/>
              </w:rPr>
              <w:t xml:space="preserve">Estrutura do Curso Conjunto para alunos da </w:t>
            </w:r>
            <w:r w:rsidR="0016485F">
              <w:rPr>
                <w:b/>
                <w:lang w:val="pt-BR"/>
              </w:rPr>
              <w:t>EESC</w:t>
            </w:r>
          </w:p>
          <w:p w:rsidR="005D1CFA" w:rsidRPr="00F10331" w:rsidRDefault="005D1CFA" w:rsidP="00025CD9">
            <w:pPr>
              <w:pStyle w:val="Corpodetexto2"/>
              <w:spacing w:before="0" w:after="0"/>
              <w:rPr>
                <w:rFonts w:ascii="Arial Narrow" w:hAnsi="Arial Narrow"/>
                <w:b/>
              </w:rPr>
            </w:pPr>
          </w:p>
        </w:tc>
        <w:tc>
          <w:tcPr>
            <w:tcW w:w="4820" w:type="dxa"/>
            <w:tcBorders>
              <w:top w:val="dashSmallGap" w:sz="4" w:space="0" w:color="auto"/>
              <w:left w:val="dashSmallGap" w:sz="4" w:space="0" w:color="auto"/>
              <w:bottom w:val="dashSmallGap" w:sz="4" w:space="0" w:color="auto"/>
              <w:right w:val="dashSmallGap" w:sz="4" w:space="0" w:color="auto"/>
            </w:tcBorders>
          </w:tcPr>
          <w:p w:rsidR="005D1CFA" w:rsidRPr="0016485F" w:rsidRDefault="005D1CFA" w:rsidP="0016485F">
            <w:pPr>
              <w:pStyle w:val="Corpodetexto2"/>
              <w:spacing w:before="0" w:after="0"/>
              <w:rPr>
                <w:rFonts w:asciiTheme="minorHAnsi" w:hAnsiTheme="minorHAnsi"/>
                <w:b/>
                <w:lang w:val="fr-FR"/>
              </w:rPr>
            </w:pPr>
            <w:r w:rsidRPr="0016485F">
              <w:rPr>
                <w:rFonts w:asciiTheme="minorHAnsi" w:hAnsiTheme="minorHAnsi"/>
                <w:b/>
                <w:lang w:val="fr-FR"/>
              </w:rPr>
              <w:t xml:space="preserve">Structure du cours commun pour les étudiants </w:t>
            </w:r>
            <w:r w:rsidR="0016485F" w:rsidRPr="0016485F">
              <w:rPr>
                <w:rFonts w:asciiTheme="minorHAnsi" w:hAnsiTheme="minorHAnsi"/>
                <w:b/>
                <w:lang w:val="fr-FR"/>
              </w:rPr>
              <w:t xml:space="preserve"> de l’EESC</w:t>
            </w:r>
          </w:p>
        </w:tc>
      </w:tr>
    </w:tbl>
    <w:p w:rsidR="00025CD9" w:rsidRDefault="00025CD9" w:rsidP="0091583B">
      <w:pPr>
        <w:rPr>
          <w:b/>
        </w:rPr>
      </w:pPr>
    </w:p>
    <w:p w:rsidR="008F0935" w:rsidRDefault="008F0935" w:rsidP="0091583B">
      <w:pPr>
        <w:rPr>
          <w:b/>
        </w:rPr>
      </w:pPr>
    </w:p>
    <w:p w:rsidR="008F0935" w:rsidRPr="005D1CFA" w:rsidRDefault="00107249" w:rsidP="0091583B">
      <w:pPr>
        <w:rPr>
          <w:b/>
        </w:rPr>
      </w:pPr>
      <w:r>
        <w:rPr>
          <w:noProof/>
          <w:lang w:val="pt-BR" w:eastAsia="pt-BR"/>
        </w:rPr>
        <w:drawing>
          <wp:inline distT="0" distB="0" distL="0" distR="0" wp14:anchorId="08453821" wp14:editId="37C399FC">
            <wp:extent cx="5972810" cy="244475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2444750"/>
                    </a:xfrm>
                    <a:prstGeom prst="rect">
                      <a:avLst/>
                    </a:prstGeom>
                  </pic:spPr>
                </pic:pic>
              </a:graphicData>
            </a:graphic>
          </wp:inline>
        </w:drawing>
      </w:r>
      <w:r w:rsidR="00E301E5">
        <w:rPr>
          <w:b/>
        </w:rPr>
        <w:br w:type="column"/>
      </w:r>
    </w:p>
    <w:p w:rsidR="00025CD9" w:rsidRPr="005D1CFA" w:rsidRDefault="00025CD9" w:rsidP="0091583B">
      <w:pPr>
        <w:rPr>
          <w:b/>
        </w:rPr>
      </w:pPr>
    </w:p>
    <w:tbl>
      <w:tblPr>
        <w:tblStyle w:val="Tabelacomgrade"/>
        <w:tblW w:w="9640" w:type="dxa"/>
        <w:tblInd w:w="-34" w:type="dxa"/>
        <w:tblLook w:val="04A0" w:firstRow="1" w:lastRow="0" w:firstColumn="1" w:lastColumn="0" w:noHBand="0" w:noVBand="1"/>
      </w:tblPr>
      <w:tblGrid>
        <w:gridCol w:w="4820"/>
        <w:gridCol w:w="4820"/>
      </w:tblGrid>
      <w:tr w:rsidR="005D1CFA" w:rsidRPr="005D1CFA" w:rsidTr="00601025">
        <w:tc>
          <w:tcPr>
            <w:tcW w:w="4820" w:type="dxa"/>
            <w:tcBorders>
              <w:top w:val="dashSmallGap" w:sz="4" w:space="0" w:color="auto"/>
              <w:left w:val="dashSmallGap" w:sz="4" w:space="0" w:color="auto"/>
              <w:bottom w:val="dashSmallGap" w:sz="4" w:space="0" w:color="auto"/>
              <w:right w:val="dashSmallGap" w:sz="4" w:space="0" w:color="auto"/>
            </w:tcBorders>
          </w:tcPr>
          <w:p w:rsidR="005D1CFA" w:rsidRPr="00F10331" w:rsidRDefault="005D1CFA" w:rsidP="00601025">
            <w:pPr>
              <w:pStyle w:val="Corpodetexto2"/>
              <w:spacing w:before="0" w:after="0"/>
              <w:rPr>
                <w:rFonts w:ascii="Arial Narrow" w:hAnsi="Arial Narrow"/>
                <w:b/>
              </w:rPr>
            </w:pPr>
            <w:r w:rsidRPr="005D1CFA">
              <w:rPr>
                <w:b/>
              </w:rPr>
              <w:t>Estrutura do Curso Conjunto para alunos da Telecom</w:t>
            </w:r>
            <w:r w:rsidR="00107249">
              <w:rPr>
                <w:b/>
              </w:rPr>
              <w:t xml:space="preserve"> Paris</w:t>
            </w:r>
          </w:p>
        </w:tc>
        <w:tc>
          <w:tcPr>
            <w:tcW w:w="4820" w:type="dxa"/>
            <w:tcBorders>
              <w:top w:val="dashSmallGap" w:sz="4" w:space="0" w:color="auto"/>
              <w:left w:val="dashSmallGap" w:sz="4" w:space="0" w:color="auto"/>
              <w:bottom w:val="dashSmallGap" w:sz="4" w:space="0" w:color="auto"/>
              <w:right w:val="dashSmallGap" w:sz="4" w:space="0" w:color="auto"/>
            </w:tcBorders>
          </w:tcPr>
          <w:p w:rsidR="005D1CFA" w:rsidRPr="005D1CFA" w:rsidRDefault="005D1CFA" w:rsidP="00107249">
            <w:pPr>
              <w:pStyle w:val="Corpodetexto2"/>
              <w:spacing w:before="0" w:after="0"/>
              <w:rPr>
                <w:rFonts w:ascii="Arial Narrow" w:hAnsi="Arial Narrow"/>
                <w:b/>
                <w:lang w:val="fr-FR"/>
              </w:rPr>
            </w:pPr>
            <w:r w:rsidRPr="005D1CFA">
              <w:rPr>
                <w:b/>
                <w:lang w:val="fr-FR"/>
              </w:rPr>
              <w:t xml:space="preserve">Structure du cours commun pour les étudiants </w:t>
            </w:r>
            <w:r>
              <w:rPr>
                <w:b/>
                <w:lang w:val="fr-FR"/>
              </w:rPr>
              <w:t>Telecom</w:t>
            </w:r>
            <w:r w:rsidR="00107249">
              <w:rPr>
                <w:b/>
                <w:lang w:val="fr-FR"/>
              </w:rPr>
              <w:t xml:space="preserve"> Paris</w:t>
            </w:r>
          </w:p>
        </w:tc>
      </w:tr>
    </w:tbl>
    <w:p w:rsidR="005D1CFA" w:rsidRDefault="005D1CFA" w:rsidP="005D1CFA">
      <w:pPr>
        <w:rPr>
          <w:b/>
        </w:rPr>
      </w:pPr>
    </w:p>
    <w:p w:rsidR="00B70F7A" w:rsidRPr="005D1CFA" w:rsidRDefault="00B70F7A" w:rsidP="005D1CFA">
      <w:pPr>
        <w:rPr>
          <w:b/>
        </w:rPr>
      </w:pPr>
    </w:p>
    <w:p w:rsidR="005D1CFA" w:rsidRPr="005D1CFA" w:rsidRDefault="005D1CFA" w:rsidP="005D1CFA">
      <w:pPr>
        <w:rPr>
          <w:b/>
        </w:rPr>
      </w:pPr>
    </w:p>
    <w:p w:rsidR="005D1CFA" w:rsidRPr="005D1CFA" w:rsidRDefault="00107249" w:rsidP="0091583B">
      <w:r>
        <w:rPr>
          <w:noProof/>
          <w:lang w:val="pt-BR" w:eastAsia="pt-BR"/>
        </w:rPr>
        <w:drawing>
          <wp:inline distT="0" distB="0" distL="0" distR="0" wp14:anchorId="01618752" wp14:editId="3D544082">
            <wp:extent cx="5972810" cy="478536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72810" cy="4785360"/>
                    </a:xfrm>
                    <a:prstGeom prst="rect">
                      <a:avLst/>
                    </a:prstGeom>
                  </pic:spPr>
                </pic:pic>
              </a:graphicData>
            </a:graphic>
          </wp:inline>
        </w:drawing>
      </w:r>
    </w:p>
    <w:sectPr w:rsidR="005D1CFA" w:rsidRPr="005D1CFA" w:rsidSect="00F838DA">
      <w:headerReference w:type="default" r:id="rId18"/>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BA" w:rsidRDefault="006E37BA" w:rsidP="000E2344">
      <w:r>
        <w:separator/>
      </w:r>
    </w:p>
  </w:endnote>
  <w:endnote w:type="continuationSeparator" w:id="0">
    <w:p w:rsidR="006E37BA" w:rsidRDefault="006E37BA" w:rsidP="000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116391"/>
      <w:docPartObj>
        <w:docPartGallery w:val="Page Numbers (Bottom of Page)"/>
        <w:docPartUnique/>
      </w:docPartObj>
    </w:sdtPr>
    <w:sdtEndPr>
      <w:rPr>
        <w:i/>
        <w:sz w:val="18"/>
        <w:szCs w:val="18"/>
      </w:rPr>
    </w:sdtEndPr>
    <w:sdtContent>
      <w:p w:rsidR="0040746D" w:rsidRDefault="0040746D">
        <w:pPr>
          <w:pStyle w:val="Rodap"/>
          <w:jc w:val="center"/>
        </w:pPr>
      </w:p>
      <w:p w:rsidR="0040746D" w:rsidRPr="0040746D" w:rsidRDefault="0040746D">
        <w:pPr>
          <w:pStyle w:val="Rodap"/>
          <w:jc w:val="center"/>
          <w:rPr>
            <w:i/>
            <w:sz w:val="18"/>
            <w:szCs w:val="18"/>
          </w:rPr>
        </w:pPr>
        <w:r w:rsidRPr="0040746D">
          <w:rPr>
            <w:i/>
            <w:sz w:val="18"/>
            <w:szCs w:val="18"/>
          </w:rPr>
          <w:t xml:space="preserve">p. </w:t>
        </w:r>
        <w:r w:rsidRPr="0040746D">
          <w:rPr>
            <w:i/>
            <w:sz w:val="18"/>
            <w:szCs w:val="18"/>
          </w:rPr>
          <w:fldChar w:fldCharType="begin"/>
        </w:r>
        <w:r w:rsidRPr="0040746D">
          <w:rPr>
            <w:i/>
            <w:sz w:val="18"/>
            <w:szCs w:val="18"/>
          </w:rPr>
          <w:instrText>PAGE   \* MERGEFORMAT</w:instrText>
        </w:r>
        <w:r w:rsidRPr="0040746D">
          <w:rPr>
            <w:i/>
            <w:sz w:val="18"/>
            <w:szCs w:val="18"/>
          </w:rPr>
          <w:fldChar w:fldCharType="separate"/>
        </w:r>
        <w:r w:rsidR="005822F5">
          <w:rPr>
            <w:i/>
            <w:noProof/>
            <w:sz w:val="18"/>
            <w:szCs w:val="18"/>
          </w:rPr>
          <w:t>8</w:t>
        </w:r>
        <w:r w:rsidRPr="0040746D">
          <w:rPr>
            <w:i/>
            <w:sz w:val="18"/>
            <w:szCs w:val="18"/>
          </w:rPr>
          <w:fldChar w:fldCharType="end"/>
        </w:r>
      </w:p>
    </w:sdtContent>
  </w:sdt>
  <w:p w:rsidR="0040746D" w:rsidRDefault="004074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BA" w:rsidRDefault="006E37BA" w:rsidP="000E2344">
      <w:r>
        <w:separator/>
      </w:r>
    </w:p>
  </w:footnote>
  <w:footnote w:type="continuationSeparator" w:id="0">
    <w:p w:rsidR="006E37BA" w:rsidRDefault="006E37BA" w:rsidP="000E2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19"/>
    </w:tblGrid>
    <w:tr w:rsidR="003F3B4B" w:rsidTr="00987258">
      <w:tc>
        <w:tcPr>
          <w:tcW w:w="4928" w:type="dxa"/>
          <w:vAlign w:val="center"/>
        </w:tcPr>
        <w:p w:rsidR="003F3B4B" w:rsidRDefault="003F3B4B" w:rsidP="001B32D7">
          <w:pPr>
            <w:pStyle w:val="Cabealho"/>
            <w:jc w:val="left"/>
            <w:rPr>
              <w:noProof/>
              <w:lang w:eastAsia="fr-FR"/>
            </w:rPr>
          </w:pPr>
          <w:r w:rsidRPr="006E3DE3">
            <w:rPr>
              <w:noProof/>
              <w:sz w:val="16"/>
              <w:lang w:val="pt-BR" w:eastAsia="pt-BR"/>
            </w:rPr>
            <w:drawing>
              <wp:inline distT="0" distB="0" distL="0" distR="0" wp14:anchorId="19D78EED" wp14:editId="7D92E001">
                <wp:extent cx="1405720" cy="514409"/>
                <wp:effectExtent l="0" t="0" r="4445" b="0"/>
                <wp:docPr id="8" name="Imagem 8"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058" cy="515265"/>
                        </a:xfrm>
                        <a:prstGeom prst="rect">
                          <a:avLst/>
                        </a:prstGeom>
                        <a:noFill/>
                      </pic:spPr>
                    </pic:pic>
                  </a:graphicData>
                </a:graphic>
              </wp:inline>
            </w:drawing>
          </w:r>
        </w:p>
        <w:p w:rsidR="003F3B4B" w:rsidRPr="003F3B4B" w:rsidRDefault="003F3B4B" w:rsidP="003F3B4B">
          <w:pPr>
            <w:rPr>
              <w:rFonts w:cs="Arial"/>
              <w:i/>
              <w:color w:val="808080"/>
              <w:sz w:val="16"/>
              <w:szCs w:val="18"/>
              <w:lang w:val="pt-BR"/>
            </w:rPr>
          </w:pPr>
          <w:r w:rsidRPr="003F3B4B">
            <w:rPr>
              <w:rFonts w:cs="Arial"/>
              <w:i/>
              <w:color w:val="808080"/>
              <w:sz w:val="16"/>
              <w:szCs w:val="18"/>
              <w:lang w:val="pt-BR"/>
            </w:rPr>
            <w:t>Escola de Engenharia de São Carlos</w:t>
          </w:r>
        </w:p>
        <w:p w:rsidR="003F3B4B" w:rsidRDefault="003F3B4B" w:rsidP="003F3B4B">
          <w:pPr>
            <w:pStyle w:val="Cabealho"/>
            <w:jc w:val="left"/>
            <w:rPr>
              <w:noProof/>
              <w:lang w:eastAsia="fr-FR"/>
            </w:rPr>
          </w:pPr>
          <w:r w:rsidRPr="003F3B4B">
            <w:rPr>
              <w:rFonts w:cs="Arial"/>
              <w:i/>
              <w:color w:val="808080"/>
              <w:sz w:val="16"/>
              <w:szCs w:val="18"/>
            </w:rPr>
            <w:t>Universidade de São Paulo</w:t>
          </w:r>
        </w:p>
      </w:tc>
      <w:tc>
        <w:tcPr>
          <w:tcW w:w="4819" w:type="dxa"/>
          <w:vAlign w:val="center"/>
        </w:tcPr>
        <w:p w:rsidR="003F3B4B" w:rsidRDefault="003F3B4B" w:rsidP="001B32D7">
          <w:pPr>
            <w:pStyle w:val="Cabealho"/>
            <w:jc w:val="right"/>
          </w:pPr>
          <w:r>
            <w:rPr>
              <w:noProof/>
              <w:lang w:val="pt-BR" w:eastAsia="pt-BR"/>
            </w:rPr>
            <w:drawing>
              <wp:inline distT="0" distB="0" distL="0" distR="0">
                <wp:extent cx="536162" cy="8256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élécom Paris - IP Paris 100x154.png"/>
                        <pic:cNvPicPr/>
                      </pic:nvPicPr>
                      <pic:blipFill>
                        <a:blip r:embed="rId2">
                          <a:extLst>
                            <a:ext uri="{28A0092B-C50C-407E-A947-70E740481C1C}">
                              <a14:useLocalDpi xmlns:a14="http://schemas.microsoft.com/office/drawing/2010/main" val="0"/>
                            </a:ext>
                          </a:extLst>
                        </a:blip>
                        <a:stretch>
                          <a:fillRect/>
                        </a:stretch>
                      </pic:blipFill>
                      <pic:spPr>
                        <a:xfrm>
                          <a:off x="0" y="0"/>
                          <a:ext cx="536605" cy="826373"/>
                        </a:xfrm>
                        <a:prstGeom prst="rect">
                          <a:avLst/>
                        </a:prstGeom>
                      </pic:spPr>
                    </pic:pic>
                  </a:graphicData>
                </a:graphic>
              </wp:inline>
            </w:drawing>
          </w:r>
        </w:p>
      </w:tc>
    </w:tr>
  </w:tbl>
  <w:p w:rsidR="001B32D7" w:rsidRDefault="001B32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9DD"/>
    <w:multiLevelType w:val="hybridMultilevel"/>
    <w:tmpl w:val="E15C2A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965965"/>
    <w:multiLevelType w:val="hybridMultilevel"/>
    <w:tmpl w:val="AC107640"/>
    <w:lvl w:ilvl="0" w:tplc="A6CC8E7C">
      <w:start w:val="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140E82"/>
    <w:multiLevelType w:val="hybridMultilevel"/>
    <w:tmpl w:val="A6CC85F0"/>
    <w:lvl w:ilvl="0" w:tplc="BB5AE5A0">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0C1083E"/>
    <w:multiLevelType w:val="hybridMultilevel"/>
    <w:tmpl w:val="A6CC85F0"/>
    <w:lvl w:ilvl="0" w:tplc="BB5AE5A0">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E160406"/>
    <w:multiLevelType w:val="hybridMultilevel"/>
    <w:tmpl w:val="17242C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1705C"/>
    <w:multiLevelType w:val="hybridMultilevel"/>
    <w:tmpl w:val="9FCCDC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1D3007"/>
    <w:multiLevelType w:val="hybridMultilevel"/>
    <w:tmpl w:val="68969B2A"/>
    <w:lvl w:ilvl="0" w:tplc="0416000F">
      <w:start w:val="1"/>
      <w:numFmt w:val="decimal"/>
      <w:lvlText w:val="%1."/>
      <w:lvlJc w:val="left"/>
      <w:pPr>
        <w:ind w:left="426" w:hanging="360"/>
      </w:p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7" w15:restartNumberingAfterBreak="0">
    <w:nsid w:val="598935DB"/>
    <w:multiLevelType w:val="hybridMultilevel"/>
    <w:tmpl w:val="A2EEFB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AB1780D"/>
    <w:multiLevelType w:val="hybridMultilevel"/>
    <w:tmpl w:val="B7D6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7"/>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22"/>
    <w:rsid w:val="00005C9D"/>
    <w:rsid w:val="000124A8"/>
    <w:rsid w:val="00025CD9"/>
    <w:rsid w:val="00057C71"/>
    <w:rsid w:val="00096279"/>
    <w:rsid w:val="000A2A07"/>
    <w:rsid w:val="000A60A7"/>
    <w:rsid w:val="000D521A"/>
    <w:rsid w:val="000E2344"/>
    <w:rsid w:val="00107249"/>
    <w:rsid w:val="001130B1"/>
    <w:rsid w:val="001232EE"/>
    <w:rsid w:val="00123FE7"/>
    <w:rsid w:val="00154394"/>
    <w:rsid w:val="001553C1"/>
    <w:rsid w:val="0016485F"/>
    <w:rsid w:val="0017343B"/>
    <w:rsid w:val="001846A4"/>
    <w:rsid w:val="001A60B0"/>
    <w:rsid w:val="001A67EC"/>
    <w:rsid w:val="001B277F"/>
    <w:rsid w:val="001B32D7"/>
    <w:rsid w:val="001D5AD4"/>
    <w:rsid w:val="002162E2"/>
    <w:rsid w:val="0022352C"/>
    <w:rsid w:val="00246D2B"/>
    <w:rsid w:val="00257ADC"/>
    <w:rsid w:val="00267D3D"/>
    <w:rsid w:val="00272258"/>
    <w:rsid w:val="00285CFB"/>
    <w:rsid w:val="00286014"/>
    <w:rsid w:val="00286F68"/>
    <w:rsid w:val="002C5922"/>
    <w:rsid w:val="002D4A1B"/>
    <w:rsid w:val="002E28FB"/>
    <w:rsid w:val="003116B1"/>
    <w:rsid w:val="0032549D"/>
    <w:rsid w:val="00347926"/>
    <w:rsid w:val="0035270A"/>
    <w:rsid w:val="0035344B"/>
    <w:rsid w:val="00360C62"/>
    <w:rsid w:val="003771BB"/>
    <w:rsid w:val="00394B3D"/>
    <w:rsid w:val="003A0D85"/>
    <w:rsid w:val="003B26DB"/>
    <w:rsid w:val="003B26DE"/>
    <w:rsid w:val="003F0CAA"/>
    <w:rsid w:val="003F3B4B"/>
    <w:rsid w:val="003F3E87"/>
    <w:rsid w:val="0040746D"/>
    <w:rsid w:val="00431A32"/>
    <w:rsid w:val="00455FD2"/>
    <w:rsid w:val="00463E52"/>
    <w:rsid w:val="004D1D4B"/>
    <w:rsid w:val="004D69E0"/>
    <w:rsid w:val="004F64F1"/>
    <w:rsid w:val="00523FCB"/>
    <w:rsid w:val="00527C2A"/>
    <w:rsid w:val="00547969"/>
    <w:rsid w:val="00571349"/>
    <w:rsid w:val="00573876"/>
    <w:rsid w:val="005822F5"/>
    <w:rsid w:val="005841A6"/>
    <w:rsid w:val="0058797F"/>
    <w:rsid w:val="005B4454"/>
    <w:rsid w:val="005D1CFA"/>
    <w:rsid w:val="00601025"/>
    <w:rsid w:val="00630C50"/>
    <w:rsid w:val="00637373"/>
    <w:rsid w:val="00654A9B"/>
    <w:rsid w:val="00661B0E"/>
    <w:rsid w:val="00671A12"/>
    <w:rsid w:val="00682DE9"/>
    <w:rsid w:val="0069273B"/>
    <w:rsid w:val="006A0A10"/>
    <w:rsid w:val="006A17EA"/>
    <w:rsid w:val="006B50A4"/>
    <w:rsid w:val="006E37BA"/>
    <w:rsid w:val="006E6031"/>
    <w:rsid w:val="00722DDA"/>
    <w:rsid w:val="00732B09"/>
    <w:rsid w:val="00735F1B"/>
    <w:rsid w:val="00744D20"/>
    <w:rsid w:val="00770B96"/>
    <w:rsid w:val="00774E2E"/>
    <w:rsid w:val="00776452"/>
    <w:rsid w:val="007972D7"/>
    <w:rsid w:val="007C2B63"/>
    <w:rsid w:val="007C31EE"/>
    <w:rsid w:val="007C3B9C"/>
    <w:rsid w:val="007D5705"/>
    <w:rsid w:val="007E1E29"/>
    <w:rsid w:val="007F568E"/>
    <w:rsid w:val="00814CAB"/>
    <w:rsid w:val="0082525C"/>
    <w:rsid w:val="00834488"/>
    <w:rsid w:val="008455DA"/>
    <w:rsid w:val="00855376"/>
    <w:rsid w:val="00861E98"/>
    <w:rsid w:val="00895753"/>
    <w:rsid w:val="008A3886"/>
    <w:rsid w:val="008B5005"/>
    <w:rsid w:val="008F0935"/>
    <w:rsid w:val="008F5A72"/>
    <w:rsid w:val="0091583B"/>
    <w:rsid w:val="00944729"/>
    <w:rsid w:val="00955FCE"/>
    <w:rsid w:val="009612CB"/>
    <w:rsid w:val="00966376"/>
    <w:rsid w:val="00981B41"/>
    <w:rsid w:val="00991FC9"/>
    <w:rsid w:val="009B74FA"/>
    <w:rsid w:val="009C7E67"/>
    <w:rsid w:val="00A1618F"/>
    <w:rsid w:val="00A75874"/>
    <w:rsid w:val="00A905D6"/>
    <w:rsid w:val="00AA201B"/>
    <w:rsid w:val="00AA773D"/>
    <w:rsid w:val="00AB3F52"/>
    <w:rsid w:val="00AB5E2F"/>
    <w:rsid w:val="00AC3060"/>
    <w:rsid w:val="00AC7B4C"/>
    <w:rsid w:val="00AE2785"/>
    <w:rsid w:val="00B3519E"/>
    <w:rsid w:val="00B449E3"/>
    <w:rsid w:val="00B65F36"/>
    <w:rsid w:val="00B70F7A"/>
    <w:rsid w:val="00B74F4F"/>
    <w:rsid w:val="00B973D3"/>
    <w:rsid w:val="00BC4098"/>
    <w:rsid w:val="00BF3CD3"/>
    <w:rsid w:val="00C149E1"/>
    <w:rsid w:val="00C457E3"/>
    <w:rsid w:val="00C66F10"/>
    <w:rsid w:val="00C94018"/>
    <w:rsid w:val="00CA067D"/>
    <w:rsid w:val="00CB4809"/>
    <w:rsid w:val="00CC125B"/>
    <w:rsid w:val="00CC6BA0"/>
    <w:rsid w:val="00D12C68"/>
    <w:rsid w:val="00D20509"/>
    <w:rsid w:val="00D3282E"/>
    <w:rsid w:val="00D37A37"/>
    <w:rsid w:val="00D37FA2"/>
    <w:rsid w:val="00D52F99"/>
    <w:rsid w:val="00D612B2"/>
    <w:rsid w:val="00D866C8"/>
    <w:rsid w:val="00D901AC"/>
    <w:rsid w:val="00D9074C"/>
    <w:rsid w:val="00D97548"/>
    <w:rsid w:val="00DB5FFA"/>
    <w:rsid w:val="00DF3337"/>
    <w:rsid w:val="00E03B45"/>
    <w:rsid w:val="00E05478"/>
    <w:rsid w:val="00E05C03"/>
    <w:rsid w:val="00E065F1"/>
    <w:rsid w:val="00E06A19"/>
    <w:rsid w:val="00E301E5"/>
    <w:rsid w:val="00E372D6"/>
    <w:rsid w:val="00E57C41"/>
    <w:rsid w:val="00E844AB"/>
    <w:rsid w:val="00E861D6"/>
    <w:rsid w:val="00EA4BA3"/>
    <w:rsid w:val="00EA5ED9"/>
    <w:rsid w:val="00EC54E3"/>
    <w:rsid w:val="00ED614E"/>
    <w:rsid w:val="00EE2349"/>
    <w:rsid w:val="00EE3945"/>
    <w:rsid w:val="00F232B0"/>
    <w:rsid w:val="00F24CC5"/>
    <w:rsid w:val="00F4777C"/>
    <w:rsid w:val="00F65E7F"/>
    <w:rsid w:val="00F72BDD"/>
    <w:rsid w:val="00F72E37"/>
    <w:rsid w:val="00F739C0"/>
    <w:rsid w:val="00F81DCE"/>
    <w:rsid w:val="00F838DA"/>
    <w:rsid w:val="00F87102"/>
    <w:rsid w:val="00F93DC3"/>
    <w:rsid w:val="00F9480E"/>
    <w:rsid w:val="00F97EAA"/>
    <w:rsid w:val="00FB5A83"/>
    <w:rsid w:val="00FC26DB"/>
    <w:rsid w:val="00FF4E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BEC071-8668-49EF-8FEF-D85D8BBD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44"/>
    <w:pPr>
      <w:jc w:val="both"/>
    </w:pPr>
    <w:rPr>
      <w:rFonts w:asciiTheme="minorHAnsi" w:hAnsiTheme="minorHAnsi"/>
      <w:szCs w:val="24"/>
      <w:lang w:val="fr-FR"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C5922"/>
    <w:pPr>
      <w:tabs>
        <w:tab w:val="center" w:pos="4536"/>
        <w:tab w:val="right" w:pos="9072"/>
      </w:tabs>
    </w:pPr>
  </w:style>
  <w:style w:type="paragraph" w:styleId="Rodap">
    <w:name w:val="footer"/>
    <w:basedOn w:val="Normal"/>
    <w:link w:val="RodapChar"/>
    <w:uiPriority w:val="99"/>
    <w:rsid w:val="002C5922"/>
    <w:pPr>
      <w:tabs>
        <w:tab w:val="center" w:pos="4536"/>
        <w:tab w:val="right" w:pos="9072"/>
      </w:tabs>
    </w:pPr>
  </w:style>
  <w:style w:type="paragraph" w:styleId="Textodebalo">
    <w:name w:val="Balloon Text"/>
    <w:basedOn w:val="Normal"/>
    <w:semiHidden/>
    <w:rsid w:val="00DF7436"/>
    <w:rPr>
      <w:rFonts w:ascii="Lucida Grande" w:hAnsi="Lucida Grande"/>
      <w:sz w:val="18"/>
      <w:szCs w:val="18"/>
    </w:rPr>
  </w:style>
  <w:style w:type="character" w:styleId="Refdecomentrio">
    <w:name w:val="annotation reference"/>
    <w:basedOn w:val="Fontepargpadro"/>
    <w:uiPriority w:val="99"/>
    <w:semiHidden/>
    <w:unhideWhenUsed/>
    <w:rsid w:val="00F232B0"/>
    <w:rPr>
      <w:sz w:val="16"/>
      <w:szCs w:val="16"/>
    </w:rPr>
  </w:style>
  <w:style w:type="paragraph" w:styleId="Textodecomentrio">
    <w:name w:val="annotation text"/>
    <w:basedOn w:val="Normal"/>
    <w:link w:val="TextodecomentrioChar"/>
    <w:uiPriority w:val="99"/>
    <w:semiHidden/>
    <w:unhideWhenUsed/>
    <w:rsid w:val="00F232B0"/>
    <w:rPr>
      <w:szCs w:val="20"/>
    </w:rPr>
  </w:style>
  <w:style w:type="character" w:customStyle="1" w:styleId="TextodecomentrioChar">
    <w:name w:val="Texto de comentário Char"/>
    <w:basedOn w:val="Fontepargpadro"/>
    <w:link w:val="Textodecomentrio"/>
    <w:uiPriority w:val="99"/>
    <w:semiHidden/>
    <w:rsid w:val="00F232B0"/>
    <w:rPr>
      <w:lang w:eastAsia="ja-JP"/>
    </w:rPr>
  </w:style>
  <w:style w:type="paragraph" w:styleId="Assuntodocomentrio">
    <w:name w:val="annotation subject"/>
    <w:basedOn w:val="Textodecomentrio"/>
    <w:next w:val="Textodecomentrio"/>
    <w:link w:val="AssuntodocomentrioChar"/>
    <w:uiPriority w:val="99"/>
    <w:semiHidden/>
    <w:unhideWhenUsed/>
    <w:rsid w:val="00F232B0"/>
    <w:rPr>
      <w:b/>
      <w:bCs/>
    </w:rPr>
  </w:style>
  <w:style w:type="character" w:customStyle="1" w:styleId="AssuntodocomentrioChar">
    <w:name w:val="Assunto do comentário Char"/>
    <w:basedOn w:val="TextodecomentrioChar"/>
    <w:link w:val="Assuntodocomentrio"/>
    <w:uiPriority w:val="99"/>
    <w:semiHidden/>
    <w:rsid w:val="00F232B0"/>
    <w:rPr>
      <w:b/>
      <w:bCs/>
      <w:lang w:eastAsia="ja-JP"/>
    </w:rPr>
  </w:style>
  <w:style w:type="table" w:styleId="Tabelacomgrade">
    <w:name w:val="Table Grid"/>
    <w:basedOn w:val="Tabelanormal"/>
    <w:rsid w:val="00527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E2344"/>
    <w:pPr>
      <w:ind w:left="720"/>
      <w:contextualSpacing/>
    </w:pPr>
  </w:style>
  <w:style w:type="paragraph" w:styleId="Ttulo">
    <w:name w:val="Title"/>
    <w:basedOn w:val="Normal"/>
    <w:next w:val="Normal"/>
    <w:link w:val="TtuloChar"/>
    <w:qFormat/>
    <w:rsid w:val="00CC6BA0"/>
    <w:pPr>
      <w:spacing w:before="120"/>
      <w:contextualSpacing/>
      <w:jc w:val="center"/>
    </w:pPr>
    <w:rPr>
      <w:rFonts w:ascii="Cambria" w:eastAsia="Times New Roman" w:hAnsi="Cambria"/>
      <w:color w:val="17365D"/>
      <w:spacing w:val="5"/>
      <w:kern w:val="28"/>
      <w:sz w:val="28"/>
      <w:szCs w:val="28"/>
      <w:lang w:val="pt-BR" w:eastAsia="en-US" w:bidi="en-US"/>
    </w:rPr>
  </w:style>
  <w:style w:type="character" w:customStyle="1" w:styleId="TtuloChar">
    <w:name w:val="Título Char"/>
    <w:basedOn w:val="Fontepargpadro"/>
    <w:link w:val="Ttulo"/>
    <w:rsid w:val="00CC6BA0"/>
    <w:rPr>
      <w:rFonts w:ascii="Cambria" w:eastAsia="Times New Roman" w:hAnsi="Cambria"/>
      <w:color w:val="17365D"/>
      <w:spacing w:val="5"/>
      <w:kern w:val="28"/>
      <w:sz w:val="28"/>
      <w:szCs w:val="28"/>
      <w:lang w:val="pt-BR" w:bidi="en-US"/>
    </w:rPr>
  </w:style>
  <w:style w:type="paragraph" w:styleId="Corpodetexto2">
    <w:name w:val="Body Text 2"/>
    <w:basedOn w:val="Normal"/>
    <w:link w:val="Corpodetexto2Char"/>
    <w:rsid w:val="00CC6BA0"/>
    <w:pPr>
      <w:spacing w:before="120" w:after="120"/>
    </w:pPr>
    <w:rPr>
      <w:rFonts w:ascii="Times New Roman" w:eastAsia="Times New Roman" w:hAnsi="Times New Roman"/>
      <w:lang w:val="pt-BR" w:eastAsia="pt-BR"/>
    </w:rPr>
  </w:style>
  <w:style w:type="character" w:customStyle="1" w:styleId="Corpodetexto2Char">
    <w:name w:val="Corpo de texto 2 Char"/>
    <w:basedOn w:val="Fontepargpadro"/>
    <w:link w:val="Corpodetexto2"/>
    <w:rsid w:val="00CC6BA0"/>
    <w:rPr>
      <w:rFonts w:eastAsia="Times New Roman"/>
      <w:szCs w:val="24"/>
      <w:lang w:val="pt-BR" w:eastAsia="pt-BR"/>
    </w:rPr>
  </w:style>
  <w:style w:type="character" w:customStyle="1" w:styleId="hps">
    <w:name w:val="hps"/>
    <w:basedOn w:val="Fontepargpadro"/>
    <w:rsid w:val="00E03B45"/>
  </w:style>
  <w:style w:type="character" w:customStyle="1" w:styleId="CabealhoChar">
    <w:name w:val="Cabeçalho Char"/>
    <w:basedOn w:val="Fontepargpadro"/>
    <w:link w:val="Cabealho"/>
    <w:rsid w:val="003F3B4B"/>
    <w:rPr>
      <w:rFonts w:asciiTheme="minorHAnsi" w:hAnsiTheme="minorHAnsi"/>
      <w:szCs w:val="24"/>
      <w:lang w:val="fr-FR" w:eastAsia="ja-JP"/>
    </w:rPr>
  </w:style>
  <w:style w:type="character" w:styleId="Hyperlink">
    <w:name w:val="Hyperlink"/>
    <w:basedOn w:val="Fontepargpadro"/>
    <w:uiPriority w:val="99"/>
    <w:unhideWhenUsed/>
    <w:rsid w:val="0040746D"/>
    <w:rPr>
      <w:color w:val="0000FF" w:themeColor="hyperlink"/>
      <w:u w:val="single"/>
    </w:rPr>
  </w:style>
  <w:style w:type="character" w:customStyle="1" w:styleId="RodapChar">
    <w:name w:val="Rodapé Char"/>
    <w:basedOn w:val="Fontepargpadro"/>
    <w:link w:val="Rodap"/>
    <w:uiPriority w:val="99"/>
    <w:rsid w:val="0040746D"/>
    <w:rPr>
      <w:rFonts w:asciiTheme="minorHAnsi" w:hAnsiTheme="minorHAnsi"/>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56">
      <w:bodyDiv w:val="1"/>
      <w:marLeft w:val="0"/>
      <w:marRight w:val="0"/>
      <w:marTop w:val="0"/>
      <w:marBottom w:val="0"/>
      <w:divBdr>
        <w:top w:val="none" w:sz="0" w:space="0" w:color="auto"/>
        <w:left w:val="none" w:sz="0" w:space="0" w:color="auto"/>
        <w:bottom w:val="none" w:sz="0" w:space="0" w:color="auto"/>
        <w:right w:val="none" w:sz="0" w:space="0" w:color="auto"/>
      </w:divBdr>
      <w:divsChild>
        <w:div w:id="538663475">
          <w:marLeft w:val="0"/>
          <w:marRight w:val="0"/>
          <w:marTop w:val="0"/>
          <w:marBottom w:val="0"/>
          <w:divBdr>
            <w:top w:val="none" w:sz="0" w:space="0" w:color="auto"/>
            <w:left w:val="none" w:sz="0" w:space="0" w:color="auto"/>
            <w:bottom w:val="none" w:sz="0" w:space="0" w:color="auto"/>
            <w:right w:val="none" w:sz="0" w:space="0" w:color="auto"/>
          </w:divBdr>
        </w:div>
        <w:div w:id="1054427731">
          <w:marLeft w:val="0"/>
          <w:marRight w:val="0"/>
          <w:marTop w:val="0"/>
          <w:marBottom w:val="0"/>
          <w:divBdr>
            <w:top w:val="none" w:sz="0" w:space="0" w:color="auto"/>
            <w:left w:val="none" w:sz="0" w:space="0" w:color="auto"/>
            <w:bottom w:val="none" w:sz="0" w:space="0" w:color="auto"/>
            <w:right w:val="none" w:sz="0" w:space="0" w:color="auto"/>
          </w:divBdr>
        </w:div>
        <w:div w:id="1754816153">
          <w:marLeft w:val="0"/>
          <w:marRight w:val="0"/>
          <w:marTop w:val="0"/>
          <w:marBottom w:val="0"/>
          <w:divBdr>
            <w:top w:val="none" w:sz="0" w:space="0" w:color="auto"/>
            <w:left w:val="none" w:sz="0" w:space="0" w:color="auto"/>
            <w:bottom w:val="none" w:sz="0" w:space="0" w:color="auto"/>
            <w:right w:val="none" w:sz="0" w:space="0" w:color="auto"/>
          </w:divBdr>
        </w:div>
      </w:divsChild>
    </w:div>
    <w:div w:id="371419923">
      <w:bodyDiv w:val="1"/>
      <w:marLeft w:val="0"/>
      <w:marRight w:val="0"/>
      <w:marTop w:val="0"/>
      <w:marBottom w:val="0"/>
      <w:divBdr>
        <w:top w:val="none" w:sz="0" w:space="0" w:color="auto"/>
        <w:left w:val="none" w:sz="0" w:space="0" w:color="auto"/>
        <w:bottom w:val="none" w:sz="0" w:space="0" w:color="auto"/>
        <w:right w:val="none" w:sz="0" w:space="0" w:color="auto"/>
      </w:divBdr>
      <w:divsChild>
        <w:div w:id="414328266">
          <w:marLeft w:val="0"/>
          <w:marRight w:val="0"/>
          <w:marTop w:val="0"/>
          <w:marBottom w:val="0"/>
          <w:divBdr>
            <w:top w:val="none" w:sz="0" w:space="0" w:color="auto"/>
            <w:left w:val="none" w:sz="0" w:space="0" w:color="auto"/>
            <w:bottom w:val="none" w:sz="0" w:space="0" w:color="auto"/>
            <w:right w:val="none" w:sz="0" w:space="0" w:color="auto"/>
          </w:divBdr>
        </w:div>
        <w:div w:id="418331531">
          <w:marLeft w:val="0"/>
          <w:marRight w:val="0"/>
          <w:marTop w:val="0"/>
          <w:marBottom w:val="0"/>
          <w:divBdr>
            <w:top w:val="none" w:sz="0" w:space="0" w:color="auto"/>
            <w:left w:val="none" w:sz="0" w:space="0" w:color="auto"/>
            <w:bottom w:val="none" w:sz="0" w:space="0" w:color="auto"/>
            <w:right w:val="none" w:sz="0" w:space="0" w:color="auto"/>
          </w:divBdr>
        </w:div>
        <w:div w:id="708535384">
          <w:marLeft w:val="0"/>
          <w:marRight w:val="0"/>
          <w:marTop w:val="0"/>
          <w:marBottom w:val="0"/>
          <w:divBdr>
            <w:top w:val="none" w:sz="0" w:space="0" w:color="auto"/>
            <w:left w:val="none" w:sz="0" w:space="0" w:color="auto"/>
            <w:bottom w:val="none" w:sz="0" w:space="0" w:color="auto"/>
            <w:right w:val="none" w:sz="0" w:space="0" w:color="auto"/>
          </w:divBdr>
        </w:div>
        <w:div w:id="805778542">
          <w:marLeft w:val="0"/>
          <w:marRight w:val="0"/>
          <w:marTop w:val="0"/>
          <w:marBottom w:val="0"/>
          <w:divBdr>
            <w:top w:val="none" w:sz="0" w:space="0" w:color="auto"/>
            <w:left w:val="none" w:sz="0" w:space="0" w:color="auto"/>
            <w:bottom w:val="none" w:sz="0" w:space="0" w:color="auto"/>
            <w:right w:val="none" w:sz="0" w:space="0" w:color="auto"/>
          </w:divBdr>
        </w:div>
        <w:div w:id="1459641066">
          <w:marLeft w:val="0"/>
          <w:marRight w:val="0"/>
          <w:marTop w:val="0"/>
          <w:marBottom w:val="0"/>
          <w:divBdr>
            <w:top w:val="none" w:sz="0" w:space="0" w:color="auto"/>
            <w:left w:val="none" w:sz="0" w:space="0" w:color="auto"/>
            <w:bottom w:val="none" w:sz="0" w:space="0" w:color="auto"/>
            <w:right w:val="none" w:sz="0" w:space="0" w:color="auto"/>
          </w:divBdr>
        </w:div>
        <w:div w:id="1842503327">
          <w:marLeft w:val="0"/>
          <w:marRight w:val="0"/>
          <w:marTop w:val="0"/>
          <w:marBottom w:val="0"/>
          <w:divBdr>
            <w:top w:val="none" w:sz="0" w:space="0" w:color="auto"/>
            <w:left w:val="none" w:sz="0" w:space="0" w:color="auto"/>
            <w:bottom w:val="none" w:sz="0" w:space="0" w:color="auto"/>
            <w:right w:val="none" w:sz="0" w:space="0" w:color="auto"/>
          </w:divBdr>
        </w:div>
        <w:div w:id="1842773788">
          <w:marLeft w:val="0"/>
          <w:marRight w:val="0"/>
          <w:marTop w:val="0"/>
          <w:marBottom w:val="0"/>
          <w:divBdr>
            <w:top w:val="none" w:sz="0" w:space="0" w:color="auto"/>
            <w:left w:val="none" w:sz="0" w:space="0" w:color="auto"/>
            <w:bottom w:val="none" w:sz="0" w:space="0" w:color="auto"/>
            <w:right w:val="none" w:sz="0" w:space="0" w:color="auto"/>
          </w:divBdr>
        </w:div>
        <w:div w:id="193894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y@sc.usp.br" TargetMode="External"/><Relationship Id="rId13" Type="http://schemas.openxmlformats.org/officeDocument/2006/relationships/hyperlink" Target="mailto:ccint@eesc.usp.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ury@sc.usp.b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telecom-paris.fr" TargetMode="External"/><Relationship Id="rId5" Type="http://schemas.openxmlformats.org/officeDocument/2006/relationships/webSettings" Target="webSettings.xml"/><Relationship Id="rId15" Type="http://schemas.openxmlformats.org/officeDocument/2006/relationships/hyperlink" Target="mailto:international@telecom-paris.fr" TargetMode="External"/><Relationship Id="rId10" Type="http://schemas.openxmlformats.org/officeDocument/2006/relationships/hyperlink" Target="mailto:lirida.naviner@telecom-paris.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cint@eesc.usp.br" TargetMode="External"/><Relationship Id="rId14" Type="http://schemas.openxmlformats.org/officeDocument/2006/relationships/hyperlink" Target="mailto:lirida.naviner@telecom-par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E341-FDBE-40DB-B57F-8FFDF697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3364</Words>
  <Characters>18167</Characters>
  <Application>Microsoft Office Word</Application>
  <DocSecurity>0</DocSecurity>
  <Lines>151</Lines>
  <Paragraphs>42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Avenant pour établissement d ‘échanges en double-diplôme</vt:lpstr>
      <vt:lpstr>Avenant pour établissement d ‘échanges en double-diplôme</vt:lpstr>
    </vt:vector>
  </TitlesOfParts>
  <Company>GET-ENST</Company>
  <LinksUpToDate>false</LinksUpToDate>
  <CharactersWithSpaces>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pour établissement d ‘échanges en double-diplôme</dc:title>
  <dc:creator>Jean-François Naviner</dc:creator>
  <cp:lastModifiedBy>Bruno Sevciuc</cp:lastModifiedBy>
  <cp:revision>3</cp:revision>
  <cp:lastPrinted>2019-09-16T17:38:00Z</cp:lastPrinted>
  <dcterms:created xsi:type="dcterms:W3CDTF">2019-09-16T14:44:00Z</dcterms:created>
  <dcterms:modified xsi:type="dcterms:W3CDTF">2019-09-16T17:38:00Z</dcterms:modified>
</cp:coreProperties>
</file>